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0D" w:rsidRDefault="0082190D" w:rsidP="0082190D">
      <w:pPr>
        <w:tabs>
          <w:tab w:val="left" w:pos="1359"/>
        </w:tabs>
        <w:spacing w:before="228"/>
        <w:ind w:right="234"/>
        <w:jc w:val="center"/>
        <w:rPr>
          <w:sz w:val="34"/>
        </w:rPr>
      </w:pPr>
      <w:r>
        <w:rPr>
          <w:color w:val="0A376A"/>
          <w:sz w:val="34"/>
        </w:rPr>
        <w:t>专题六</w:t>
      </w:r>
      <w:r>
        <w:rPr>
          <w:color w:val="0A376A"/>
          <w:sz w:val="34"/>
        </w:rPr>
        <w:tab/>
        <w:t>多渠道加快补充中小银行资本</w:t>
      </w:r>
    </w:p>
    <w:p w:rsidR="0082190D" w:rsidRDefault="0082190D" w:rsidP="0082190D">
      <w:pPr>
        <w:pStyle w:val="a5"/>
        <w:rPr>
          <w:sz w:val="20"/>
        </w:rPr>
      </w:pPr>
    </w:p>
    <w:p w:rsidR="0082190D" w:rsidRDefault="0082190D" w:rsidP="0082190D">
      <w:pPr>
        <w:pStyle w:val="a5"/>
        <w:rPr>
          <w:sz w:val="20"/>
        </w:rPr>
      </w:pPr>
    </w:p>
    <w:p w:rsidR="0082190D" w:rsidRDefault="0082190D" w:rsidP="0082190D">
      <w:pPr>
        <w:pStyle w:val="a5"/>
        <w:rPr>
          <w:sz w:val="19"/>
        </w:rPr>
      </w:pPr>
    </w:p>
    <w:p w:rsidR="0082190D" w:rsidRDefault="0082190D" w:rsidP="0082190D">
      <w:pPr>
        <w:rPr>
          <w:sz w:val="19"/>
        </w:rPr>
        <w:sectPr w:rsidR="0082190D">
          <w:pgSz w:w="11910" w:h="16160"/>
          <w:pgMar w:top="1400" w:right="0" w:bottom="280" w:left="520" w:header="1067" w:footer="0" w:gutter="0"/>
          <w:cols w:space="720"/>
        </w:sectPr>
      </w:pPr>
    </w:p>
    <w:p w:rsidR="0082190D" w:rsidRDefault="0082190D" w:rsidP="0082190D">
      <w:pPr>
        <w:pStyle w:val="a5"/>
        <w:spacing w:before="77" w:line="374" w:lineRule="auto"/>
        <w:ind w:left="1180" w:firstLine="425"/>
        <w:jc w:val="both"/>
      </w:pPr>
      <w:r>
        <w:rPr>
          <w:color w:val="231F20"/>
        </w:rPr>
        <w:lastRenderedPageBreak/>
        <w:t>资本是商业银行经营的本钱，夯实资本对于提高银行支持实体经济和防控风险能力具有重要意义。疫情冲击下中小银行盈利水平和资产质量有所下滑，补充资本的紧迫性进一步上升。国务院金融稳定发展委员会</w:t>
      </w:r>
    </w:p>
    <w:p w:rsidR="0082190D" w:rsidRDefault="0082190D" w:rsidP="0082190D">
      <w:pPr>
        <w:pStyle w:val="a5"/>
        <w:spacing w:before="1" w:line="374" w:lineRule="auto"/>
        <w:ind w:left="1180" w:right="12"/>
        <w:jc w:val="both"/>
      </w:pPr>
      <w:r>
        <w:rPr>
          <w:color w:val="231F20"/>
        </w:rPr>
        <w:t>（以下简称金融委）多次召开会议，研究部署加快中小银行多渠道补充资本，各部门、各地方多措并举推进相关工作，取得了积极进展。</w:t>
      </w:r>
    </w:p>
    <w:p w:rsidR="0082190D" w:rsidRDefault="0082190D" w:rsidP="0082190D">
      <w:pPr>
        <w:pStyle w:val="a5"/>
        <w:rPr>
          <w:sz w:val="20"/>
        </w:rPr>
      </w:pPr>
    </w:p>
    <w:p w:rsidR="0082190D" w:rsidRDefault="0082190D" w:rsidP="0082190D">
      <w:pPr>
        <w:pStyle w:val="a5"/>
        <w:spacing w:before="7"/>
        <w:rPr>
          <w:sz w:val="15"/>
        </w:rPr>
      </w:pPr>
    </w:p>
    <w:p w:rsidR="0082190D" w:rsidRDefault="0082190D" w:rsidP="0082190D">
      <w:pPr>
        <w:spacing w:before="1" w:line="249" w:lineRule="auto"/>
        <w:ind w:left="1180" w:right="22" w:firstLine="464"/>
        <w:rPr>
          <w:sz w:val="28"/>
        </w:rPr>
      </w:pPr>
      <w:r>
        <w:rPr>
          <w:color w:val="0A376A"/>
          <w:sz w:val="28"/>
        </w:rPr>
        <w:t>一、商业银行补充资本的主要渠道</w:t>
      </w:r>
    </w:p>
    <w:p w:rsidR="0082190D" w:rsidRDefault="0082190D" w:rsidP="0082190D">
      <w:pPr>
        <w:pStyle w:val="a5"/>
        <w:spacing w:before="5"/>
        <w:rPr>
          <w:sz w:val="35"/>
        </w:rPr>
      </w:pPr>
    </w:p>
    <w:p w:rsidR="0082190D" w:rsidRDefault="0082190D" w:rsidP="0082190D">
      <w:pPr>
        <w:pStyle w:val="a5"/>
        <w:spacing w:line="374" w:lineRule="auto"/>
        <w:ind w:left="1180" w:firstLine="425"/>
        <w:jc w:val="both"/>
      </w:pPr>
      <w:r>
        <w:rPr>
          <w:color w:val="231F20"/>
        </w:rPr>
        <w:t>商业银行天然具有高杠杆经营特点， 为保护存款人利益、维持正常经营，巴塞尔协议Ⅲ和我国监管规定均要求银行保有一定比例资本金，以便在风险事件发生时吸收损失、降低破产可能性。根据吸收损失先后顺序，银行资本可分为三个层次，即核心一级资本、其他一级资本和二级资本。从资本来源看，补充银行资本有内源性和外源性两个渠道。其中，内源性渠道主要是留存收益和部分超额拨备，外源性渠道主要包括：</w:t>
      </w:r>
    </w:p>
    <w:p w:rsidR="0082190D" w:rsidRDefault="0082190D" w:rsidP="0082190D">
      <w:pPr>
        <w:pStyle w:val="a5"/>
        <w:spacing w:before="3" w:line="374" w:lineRule="auto"/>
        <w:ind w:left="1180" w:right="12" w:firstLine="425"/>
      </w:pPr>
      <w:r>
        <w:rPr>
          <w:color w:val="231F20"/>
        </w:rPr>
        <w:t>股权类资本补充工具。主要包括首次公开募股（</w:t>
      </w:r>
      <w:r>
        <w:rPr>
          <w:rFonts w:ascii="Times New Roman" w:eastAsia="Times New Roman"/>
          <w:color w:val="231F20"/>
        </w:rPr>
        <w:t>IPO</w:t>
      </w:r>
      <w:r>
        <w:rPr>
          <w:color w:val="231F20"/>
        </w:rPr>
        <w:t>）、增发、配股和发行优先股。</w:t>
      </w:r>
    </w:p>
    <w:p w:rsidR="0082190D" w:rsidRDefault="0082190D" w:rsidP="0082190D">
      <w:pPr>
        <w:pStyle w:val="a5"/>
        <w:spacing w:before="77" w:line="374" w:lineRule="auto"/>
        <w:ind w:left="388" w:right="1404"/>
        <w:jc w:val="both"/>
      </w:pPr>
      <w:r>
        <w:br w:type="column"/>
      </w:r>
      <w:r>
        <w:rPr>
          <w:color w:val="231F20"/>
        </w:rPr>
        <w:lastRenderedPageBreak/>
        <w:t>其中，</w:t>
      </w:r>
      <w:r>
        <w:rPr>
          <w:rFonts w:ascii="Times New Roman" w:eastAsia="Times New Roman"/>
          <w:color w:val="231F20"/>
        </w:rPr>
        <w:t>IPO</w:t>
      </w:r>
      <w:r>
        <w:rPr>
          <w:color w:val="231F20"/>
        </w:rPr>
        <w:t>、增发和配股将增加银行普通股， 计入核心一级资本。优先股事先约定股息， 持有人优先于普通股股东分配利润，作为资本补充工具时不强制分红、不累计派息，设定强制转股条款，计入其他一级资本。我国自</w:t>
      </w:r>
      <w:r>
        <w:rPr>
          <w:rFonts w:ascii="Times New Roman" w:eastAsia="Times New Roman"/>
          <w:color w:val="231F20"/>
        </w:rPr>
        <w:t>2014</w:t>
      </w:r>
      <w:r>
        <w:rPr>
          <w:color w:val="231F20"/>
        </w:rPr>
        <w:t>年起允许银行发行优先股补充资本， 规定若核心一级资本充足率降低至</w:t>
      </w:r>
      <w:r>
        <w:rPr>
          <w:rFonts w:ascii="Times New Roman" w:eastAsia="Times New Roman"/>
          <w:color w:val="231F20"/>
        </w:rPr>
        <w:t>5.125%</w:t>
      </w:r>
      <w:r>
        <w:rPr>
          <w:color w:val="231F20"/>
        </w:rPr>
        <w:t>或以下时，优先股须按约定价格转为普通股。</w:t>
      </w:r>
    </w:p>
    <w:p w:rsidR="0082190D" w:rsidRDefault="0082190D" w:rsidP="0082190D">
      <w:pPr>
        <w:pStyle w:val="a5"/>
        <w:spacing w:before="2" w:line="374" w:lineRule="auto"/>
        <w:ind w:left="388" w:right="1394" w:firstLine="425"/>
        <w:jc w:val="both"/>
      </w:pPr>
      <w:r>
        <w:rPr>
          <w:color w:val="231F20"/>
        </w:rPr>
        <w:t>债权类资本补充工具。按照债券期限， 可分为永续债和二级资本债。永续债无到期日或期限为机构存续期，计入其他一级资本。自</w:t>
      </w:r>
      <w:r>
        <w:rPr>
          <w:rFonts w:ascii="Times New Roman" w:eastAsia="Times New Roman" w:hAnsi="Times New Roman"/>
          <w:color w:val="231F20"/>
        </w:rPr>
        <w:t>2019</w:t>
      </w:r>
      <w:r>
        <w:rPr>
          <w:color w:val="231F20"/>
        </w:rPr>
        <w:t>年</w:t>
      </w:r>
      <w:r>
        <w:rPr>
          <w:rFonts w:ascii="Times New Roman" w:eastAsia="Times New Roman" w:hAnsi="Times New Roman"/>
          <w:color w:val="231F20"/>
        </w:rPr>
        <w:t>1</w:t>
      </w:r>
      <w:r>
        <w:rPr>
          <w:color w:val="231F20"/>
        </w:rPr>
        <w:t>月我国首只银行永续债成功发行以来，截至</w:t>
      </w:r>
      <w:r>
        <w:rPr>
          <w:rFonts w:ascii="Times New Roman" w:eastAsia="Times New Roman" w:hAnsi="Times New Roman"/>
          <w:color w:val="231F20"/>
        </w:rPr>
        <w:t>2020</w:t>
      </w:r>
      <w:r>
        <w:rPr>
          <w:color w:val="231F20"/>
        </w:rPr>
        <w:t>年底，城市商业银行和农村商业银行已累计发行</w:t>
      </w:r>
      <w:r>
        <w:rPr>
          <w:rFonts w:ascii="Times New Roman" w:eastAsia="Times New Roman" w:hAnsi="Times New Roman"/>
          <w:color w:val="231F20"/>
        </w:rPr>
        <w:t>1280</w:t>
      </w:r>
      <w:r>
        <w:rPr>
          <w:color w:val="231F20"/>
        </w:rPr>
        <w:t>亿元永续债。二级资本债期限通常为“</w:t>
      </w:r>
      <w:r>
        <w:rPr>
          <w:rFonts w:ascii="Times New Roman" w:eastAsia="Times New Roman" w:hAnsi="Times New Roman"/>
          <w:color w:val="231F20"/>
        </w:rPr>
        <w:t>5+5</w:t>
      </w:r>
      <w:r>
        <w:rPr>
          <w:color w:val="231F20"/>
        </w:rPr>
        <w:t>”，在第</w:t>
      </w:r>
      <w:r>
        <w:rPr>
          <w:rFonts w:ascii="Times New Roman" w:eastAsia="Times New Roman" w:hAnsi="Times New Roman"/>
          <w:color w:val="231F20"/>
        </w:rPr>
        <w:t>5</w:t>
      </w:r>
      <w:r>
        <w:rPr>
          <w:color w:val="231F20"/>
        </w:rPr>
        <w:t>年末附有条件的发行人赎回权，若发行人不行使赎回权，则自第</w:t>
      </w:r>
      <w:r>
        <w:rPr>
          <w:rFonts w:ascii="Times New Roman" w:eastAsia="Times New Roman" w:hAnsi="Times New Roman"/>
          <w:color w:val="231F20"/>
        </w:rPr>
        <w:t>6</w:t>
      </w:r>
      <w:r>
        <w:rPr>
          <w:color w:val="231F20"/>
        </w:rPr>
        <w:t>年起，可计入资本的金额按本金余额逐年递减。二级资本债清偿顺序在存款人及一般债权人之后，在普通股和永续债之前，计入银行二级资本。按照损失吸收机制，可分为转股型、减记型资本补充债券。过去我国资本债券均为减记型，即在风险事件触发时，发行人有权无须经持有人同意减记其债权，少偿还或不偿还债券本息。</w:t>
      </w:r>
      <w:r>
        <w:rPr>
          <w:rFonts w:ascii="Times New Roman" w:eastAsia="Times New Roman" w:hAnsi="Times New Roman"/>
          <w:color w:val="231F20"/>
        </w:rPr>
        <w:t xml:space="preserve">2021 </w:t>
      </w:r>
      <w:r>
        <w:rPr>
          <w:color w:val="231F20"/>
        </w:rPr>
        <w:t>年</w:t>
      </w:r>
      <w:r>
        <w:rPr>
          <w:rFonts w:ascii="Times New Roman" w:eastAsia="Times New Roman" w:hAnsi="Times New Roman"/>
          <w:color w:val="231F20"/>
        </w:rPr>
        <w:t>1</w:t>
      </w:r>
      <w:r>
        <w:rPr>
          <w:color w:val="231F20"/>
        </w:rPr>
        <w:t>月，首单银行转股型永续债发行，在风险</w:t>
      </w:r>
    </w:p>
    <w:p w:rsidR="0082190D" w:rsidRDefault="0082190D" w:rsidP="0082190D">
      <w:pPr>
        <w:spacing w:line="374" w:lineRule="auto"/>
        <w:jc w:val="both"/>
        <w:sectPr w:rsidR="0082190D">
          <w:type w:val="continuous"/>
          <w:pgSz w:w="11910" w:h="16160"/>
          <w:pgMar w:top="1520" w:right="0" w:bottom="280" w:left="520" w:header="720" w:footer="720" w:gutter="0"/>
          <w:cols w:num="2" w:space="720" w:equalWidth="0">
            <w:col w:w="5373" w:space="40"/>
            <w:col w:w="5977"/>
          </w:cols>
        </w:sectPr>
      </w:pPr>
    </w:p>
    <w:p w:rsidR="0082190D" w:rsidRDefault="0082190D" w:rsidP="0082190D">
      <w:pPr>
        <w:pStyle w:val="a5"/>
        <w:rPr>
          <w:sz w:val="20"/>
        </w:rPr>
      </w:pPr>
    </w:p>
    <w:p w:rsidR="0082190D" w:rsidRDefault="0082190D" w:rsidP="0082190D">
      <w:pPr>
        <w:pStyle w:val="a5"/>
        <w:spacing w:before="7"/>
        <w:rPr>
          <w:sz w:val="16"/>
        </w:rPr>
      </w:pPr>
    </w:p>
    <w:p w:rsidR="0082190D" w:rsidRDefault="0082190D" w:rsidP="0082190D">
      <w:pPr>
        <w:rPr>
          <w:sz w:val="16"/>
        </w:rPr>
        <w:sectPr w:rsidR="0082190D">
          <w:pgSz w:w="11910" w:h="16160"/>
          <w:pgMar w:top="1400" w:right="0" w:bottom="280" w:left="520" w:header="1067" w:footer="0" w:gutter="0"/>
          <w:cols w:space="720"/>
        </w:sectPr>
      </w:pPr>
    </w:p>
    <w:p w:rsidR="0082190D" w:rsidRDefault="0082190D" w:rsidP="0082190D">
      <w:pPr>
        <w:pStyle w:val="a5"/>
        <w:spacing w:before="58" w:line="374" w:lineRule="auto"/>
        <w:ind w:left="897" w:right="12"/>
      </w:pPr>
      <w:r>
        <w:rPr>
          <w:color w:val="231F20"/>
        </w:rPr>
        <w:lastRenderedPageBreak/>
        <w:t>事件触发时可转为普通股，允许债权人在特定情况下持股也有利于完善治理机制。</w:t>
      </w:r>
    </w:p>
    <w:p w:rsidR="0082190D" w:rsidRDefault="0082190D" w:rsidP="0082190D">
      <w:pPr>
        <w:pStyle w:val="a5"/>
        <w:rPr>
          <w:sz w:val="20"/>
        </w:rPr>
      </w:pPr>
    </w:p>
    <w:p w:rsidR="0082190D" w:rsidRDefault="0082190D" w:rsidP="0082190D">
      <w:pPr>
        <w:pStyle w:val="a5"/>
        <w:spacing w:before="6"/>
        <w:rPr>
          <w:sz w:val="15"/>
        </w:rPr>
      </w:pPr>
    </w:p>
    <w:p w:rsidR="0082190D" w:rsidRDefault="0082190D" w:rsidP="0082190D">
      <w:pPr>
        <w:spacing w:before="1" w:line="249" w:lineRule="auto"/>
        <w:ind w:left="897" w:right="22" w:firstLine="464"/>
        <w:rPr>
          <w:sz w:val="28"/>
        </w:rPr>
      </w:pPr>
      <w:r>
        <w:rPr>
          <w:color w:val="0A376A"/>
          <w:sz w:val="28"/>
        </w:rPr>
        <w:t>二、中小银行补充资本取得积极进展</w:t>
      </w:r>
    </w:p>
    <w:p w:rsidR="0082190D" w:rsidRDefault="0082190D" w:rsidP="0082190D">
      <w:pPr>
        <w:pStyle w:val="a5"/>
        <w:spacing w:before="5"/>
        <w:rPr>
          <w:sz w:val="35"/>
        </w:rPr>
      </w:pPr>
    </w:p>
    <w:p w:rsidR="0082190D" w:rsidRDefault="0082190D" w:rsidP="0082190D">
      <w:pPr>
        <w:pStyle w:val="a5"/>
        <w:spacing w:line="374" w:lineRule="auto"/>
        <w:ind w:left="897" w:firstLine="425"/>
        <w:jc w:val="both"/>
      </w:pPr>
      <w:r>
        <w:rPr>
          <w:rFonts w:ascii="Times New Roman" w:eastAsia="Times New Roman"/>
          <w:color w:val="231F20"/>
          <w:spacing w:val="16"/>
        </w:rPr>
        <w:t>2020</w:t>
      </w:r>
      <w:r>
        <w:rPr>
          <w:rFonts w:ascii="Times New Roman" w:eastAsia="Times New Roman"/>
          <w:color w:val="231F20"/>
          <w:spacing w:val="-30"/>
        </w:rPr>
        <w:t xml:space="preserve"> </w:t>
      </w:r>
      <w:r>
        <w:rPr>
          <w:color w:val="231F20"/>
          <w:spacing w:val="22"/>
        </w:rPr>
        <w:t>年以来，金融委多次召开会议部</w:t>
      </w:r>
      <w:r>
        <w:rPr>
          <w:color w:val="231F20"/>
          <w:spacing w:val="9"/>
        </w:rPr>
        <w:t>署创新中小银行资本补充渠道、构建资本补充长效机制等工作，各单位、各地方积极作</w:t>
      </w:r>
      <w:r>
        <w:rPr>
          <w:color w:val="231F20"/>
        </w:rPr>
        <w:t>为，中小银行资本补充工作取得显著成效。</w:t>
      </w:r>
    </w:p>
    <w:p w:rsidR="0082190D" w:rsidRDefault="0082190D" w:rsidP="0082190D">
      <w:pPr>
        <w:pStyle w:val="a5"/>
        <w:spacing w:line="374" w:lineRule="auto"/>
        <w:ind w:left="897" w:firstLine="425"/>
        <w:jc w:val="both"/>
      </w:pPr>
      <w:r>
        <w:rPr>
          <w:color w:val="231F20"/>
        </w:rPr>
        <w:t>一是指导支持地方政府多渠道补充资本。银保监会牵头联合五部委印发中小银行深化改革和补充资本工作方案，支持地方政府将中小银行改革和补充资本相结合，通过多种市场化渠道引进投资，同时通过发行地方政府专项债和认购中小银行可转债等，帮助中小银行补充资本金。</w:t>
      </w:r>
    </w:p>
    <w:p w:rsidR="0082190D" w:rsidRDefault="0082190D" w:rsidP="0082190D">
      <w:pPr>
        <w:pStyle w:val="a5"/>
        <w:spacing w:before="1" w:line="374" w:lineRule="auto"/>
        <w:ind w:left="897" w:firstLine="425"/>
        <w:jc w:val="both"/>
      </w:pPr>
      <w:r>
        <w:rPr>
          <w:color w:val="231F20"/>
        </w:rPr>
        <w:t>二是地方政府发行专项债补充中小银行资本。</w:t>
      </w:r>
      <w:r>
        <w:rPr>
          <w:rFonts w:ascii="Times New Roman" w:eastAsia="Times New Roman"/>
          <w:color w:val="231F20"/>
        </w:rPr>
        <w:t>2020</w:t>
      </w:r>
      <w:r>
        <w:rPr>
          <w:color w:val="231F20"/>
        </w:rPr>
        <w:t>年</w:t>
      </w:r>
      <w:r>
        <w:rPr>
          <w:rFonts w:ascii="Times New Roman" w:eastAsia="Times New Roman"/>
          <w:color w:val="231F20"/>
        </w:rPr>
        <w:t>7</w:t>
      </w:r>
      <w:r>
        <w:rPr>
          <w:color w:val="231F20"/>
        </w:rPr>
        <w:t>月</w:t>
      </w:r>
      <w:r>
        <w:rPr>
          <w:rFonts w:ascii="Times New Roman" w:eastAsia="Times New Roman"/>
          <w:color w:val="231F20"/>
        </w:rPr>
        <w:t>1</w:t>
      </w:r>
      <w:r>
        <w:rPr>
          <w:color w:val="231F20"/>
        </w:rPr>
        <w:t>日，国务院常务会议决定允许地方政府专项债合理支持中小银行补充资本。财政部安排了</w:t>
      </w:r>
      <w:r>
        <w:rPr>
          <w:rFonts w:ascii="Times New Roman" w:eastAsia="Times New Roman"/>
          <w:color w:val="231F20"/>
        </w:rPr>
        <w:t>2000</w:t>
      </w:r>
      <w:r>
        <w:rPr>
          <w:color w:val="231F20"/>
        </w:rPr>
        <w:t>亿元专项债券额度，支持</w:t>
      </w:r>
      <w:r>
        <w:rPr>
          <w:rFonts w:ascii="Times New Roman" w:eastAsia="Times New Roman"/>
          <w:color w:val="231F20"/>
        </w:rPr>
        <w:t>20</w:t>
      </w:r>
      <w:r>
        <w:rPr>
          <w:color w:val="231F20"/>
        </w:rPr>
        <w:t>个地区的中小银行补充资本。</w:t>
      </w:r>
    </w:p>
    <w:p w:rsidR="0082190D" w:rsidRDefault="0082190D" w:rsidP="0082190D">
      <w:pPr>
        <w:pStyle w:val="a5"/>
        <w:spacing w:before="4" w:line="374" w:lineRule="auto"/>
        <w:ind w:left="897" w:right="12" w:firstLine="425"/>
        <w:jc w:val="both"/>
      </w:pPr>
      <w:r>
        <w:rPr>
          <w:color w:val="231F20"/>
        </w:rPr>
        <w:t>三是持续推动资本工具创新发展。</w:t>
      </w:r>
      <w:r>
        <w:rPr>
          <w:rFonts w:ascii="Times New Roman" w:eastAsia="Times New Roman"/>
          <w:color w:val="231F20"/>
        </w:rPr>
        <w:t xml:space="preserve">2020 </w:t>
      </w:r>
      <w:r>
        <w:rPr>
          <w:color w:val="231F20"/>
        </w:rPr>
        <w:t>年以来，人民银行积极支持中小银行发行永续债、二级资本债等创新型资本工具，促进形成市场化补充中小银行资本、恢复信贷扩张能力、支持经济企稳向好的经济金融良性循环。据统计，</w:t>
      </w:r>
      <w:r>
        <w:rPr>
          <w:rFonts w:ascii="Times New Roman" w:eastAsia="Times New Roman"/>
          <w:color w:val="231F20"/>
        </w:rPr>
        <w:t>2020</w:t>
      </w:r>
      <w:r>
        <w:rPr>
          <w:color w:val="231F20"/>
        </w:rPr>
        <w:t>年</w:t>
      </w:r>
      <w:r>
        <w:rPr>
          <w:rFonts w:ascii="Times New Roman" w:eastAsia="Times New Roman"/>
          <w:color w:val="231F20"/>
        </w:rPr>
        <w:t>80</w:t>
      </w:r>
      <w:r>
        <w:rPr>
          <w:color w:val="231F20"/>
        </w:rPr>
        <w:t>家中小银行永续债和二级资本债合计发行规模超过</w:t>
      </w:r>
      <w:r>
        <w:rPr>
          <w:rFonts w:ascii="Times New Roman" w:eastAsia="Times New Roman"/>
          <w:color w:val="231F20"/>
        </w:rPr>
        <w:t>2000</w:t>
      </w:r>
      <w:r>
        <w:rPr>
          <w:color w:val="231F20"/>
        </w:rPr>
        <w:t>亿元， 发行主体不断扩容。</w:t>
      </w:r>
      <w:r>
        <w:rPr>
          <w:rFonts w:ascii="Times New Roman" w:eastAsia="Times New Roman"/>
          <w:color w:val="231F20"/>
        </w:rPr>
        <w:t>2021</w:t>
      </w:r>
      <w:r>
        <w:rPr>
          <w:color w:val="231F20"/>
        </w:rPr>
        <w:t>年初，人民银行会</w:t>
      </w:r>
    </w:p>
    <w:p w:rsidR="0082190D" w:rsidRDefault="0082190D" w:rsidP="0082190D">
      <w:pPr>
        <w:pStyle w:val="a5"/>
        <w:spacing w:before="58" w:line="374" w:lineRule="auto"/>
        <w:ind w:left="388" w:right="1688"/>
        <w:jc w:val="both"/>
      </w:pPr>
      <w:r>
        <w:br w:type="column"/>
      </w:r>
      <w:r>
        <w:rPr>
          <w:color w:val="231F20"/>
        </w:rPr>
        <w:lastRenderedPageBreak/>
        <w:t>同银保监会设计完善转股型资本债券制度， 浙江稠州商业银行、宁波通商银行获批在银行间债券市场发行转股型资本债券。</w:t>
      </w:r>
    </w:p>
    <w:p w:rsidR="0082190D" w:rsidRDefault="0082190D" w:rsidP="0082190D">
      <w:pPr>
        <w:pStyle w:val="a5"/>
        <w:spacing w:line="374" w:lineRule="auto"/>
        <w:ind w:left="388" w:right="1688" w:firstLine="425"/>
        <w:jc w:val="both"/>
      </w:pPr>
      <w:r>
        <w:rPr>
          <w:color w:val="231F20"/>
        </w:rPr>
        <w:t>四是加大对资本工具的政策支持力度。为提升永续债二级市场流动性，支持中小银行发行永续债补充资本，人民银行采用市场化方式以每月一次的频率开展央行票据互换</w:t>
      </w:r>
    </w:p>
    <w:p w:rsidR="0082190D" w:rsidRDefault="0082190D" w:rsidP="0082190D">
      <w:pPr>
        <w:pStyle w:val="a5"/>
        <w:spacing w:before="2" w:line="374" w:lineRule="auto"/>
        <w:ind w:left="388" w:right="1688"/>
        <w:jc w:val="both"/>
      </w:pPr>
      <w:r>
        <w:rPr>
          <w:color w:val="231F20"/>
        </w:rPr>
        <w:t>（</w:t>
      </w:r>
      <w:r>
        <w:rPr>
          <w:rFonts w:ascii="Times New Roman" w:eastAsia="Times New Roman"/>
          <w:color w:val="231F20"/>
        </w:rPr>
        <w:t>CBS</w:t>
      </w:r>
      <w:r>
        <w:rPr>
          <w:color w:val="231F20"/>
        </w:rPr>
        <w:t>）操作，</w:t>
      </w:r>
      <w:r>
        <w:rPr>
          <w:rFonts w:ascii="Times New Roman" w:eastAsia="Times New Roman"/>
          <w:color w:val="231F20"/>
        </w:rPr>
        <w:t>2020</w:t>
      </w:r>
      <w:r>
        <w:rPr>
          <w:color w:val="231F20"/>
        </w:rPr>
        <w:t>年累计操作量达</w:t>
      </w:r>
      <w:r>
        <w:rPr>
          <w:rFonts w:ascii="Times New Roman" w:eastAsia="Times New Roman"/>
          <w:color w:val="231F20"/>
        </w:rPr>
        <w:t>610</w:t>
      </w:r>
      <w:r>
        <w:rPr>
          <w:color w:val="231F20"/>
        </w:rPr>
        <w:t>亿元。银保监会修订《关于保险资金投资银行资本补充债券有关事项的通知》，放宽保险资金可以投资资本工具的发行人条件，取消可投债券债项信用评级标准，支持中小银行优化资本结构。</w:t>
      </w:r>
    </w:p>
    <w:p w:rsidR="0082190D" w:rsidRDefault="0082190D" w:rsidP="0082190D">
      <w:pPr>
        <w:pStyle w:val="a5"/>
        <w:spacing w:line="374" w:lineRule="auto"/>
        <w:ind w:left="388" w:right="1677" w:firstLine="425"/>
        <w:jc w:val="both"/>
      </w:pPr>
      <w:r>
        <w:rPr>
          <w:color w:val="231F20"/>
        </w:rPr>
        <w:t>五是多家银行通过直接融资方式补充资本。</w:t>
      </w:r>
      <w:r>
        <w:rPr>
          <w:rFonts w:ascii="Times New Roman" w:eastAsia="Times New Roman"/>
          <w:color w:val="231F20"/>
        </w:rPr>
        <w:t>2020</w:t>
      </w:r>
      <w:r>
        <w:rPr>
          <w:color w:val="231F20"/>
        </w:rPr>
        <w:t>年以来，渤海银行、威海银行在</w:t>
      </w:r>
      <w:r>
        <w:rPr>
          <w:rFonts w:ascii="Times New Roman" w:eastAsia="Times New Roman"/>
          <w:color w:val="231F20"/>
        </w:rPr>
        <w:t>H</w:t>
      </w:r>
      <w:r>
        <w:rPr>
          <w:color w:val="231F20"/>
        </w:rPr>
        <w:t>股上市，分别融资</w:t>
      </w:r>
      <w:r>
        <w:rPr>
          <w:rFonts w:ascii="Times New Roman" w:eastAsia="Times New Roman"/>
          <w:color w:val="231F20"/>
        </w:rPr>
        <w:t>134.7</w:t>
      </w:r>
      <w:r>
        <w:rPr>
          <w:color w:val="231F20"/>
        </w:rPr>
        <w:t>亿港元、</w:t>
      </w:r>
      <w:r>
        <w:rPr>
          <w:rFonts w:ascii="Times New Roman" w:eastAsia="Times New Roman"/>
          <w:color w:val="231F20"/>
        </w:rPr>
        <w:t>28.3</w:t>
      </w:r>
      <w:r>
        <w:rPr>
          <w:color w:val="231F20"/>
        </w:rPr>
        <w:t>亿港元。厦门银行、重庆银行、齐鲁银行、瑞丰银行、上海农商银行在</w:t>
      </w:r>
      <w:r>
        <w:rPr>
          <w:rFonts w:ascii="Times New Roman" w:eastAsia="Times New Roman"/>
          <w:color w:val="231F20"/>
        </w:rPr>
        <w:t>A</w:t>
      </w:r>
      <w:r>
        <w:rPr>
          <w:color w:val="231F20"/>
        </w:rPr>
        <w:t>股首发上市募资</w:t>
      </w:r>
      <w:r>
        <w:rPr>
          <w:rFonts w:ascii="Times New Roman" w:eastAsia="Times New Roman"/>
          <w:color w:val="231F20"/>
        </w:rPr>
        <w:t>17.7</w:t>
      </w:r>
      <w:r>
        <w:rPr>
          <w:color w:val="231F20"/>
        </w:rPr>
        <w:t>亿元、</w:t>
      </w:r>
      <w:r>
        <w:rPr>
          <w:rFonts w:ascii="Times New Roman" w:eastAsia="Times New Roman"/>
          <w:color w:val="231F20"/>
        </w:rPr>
        <w:t>37.6</w:t>
      </w:r>
      <w:r>
        <w:rPr>
          <w:color w:val="231F20"/>
        </w:rPr>
        <w:t>亿元、</w:t>
      </w:r>
      <w:r>
        <w:rPr>
          <w:rFonts w:ascii="Times New Roman" w:eastAsia="Times New Roman"/>
          <w:color w:val="231F20"/>
        </w:rPr>
        <w:t>24.55</w:t>
      </w:r>
      <w:r>
        <w:rPr>
          <w:color w:val="231F20"/>
        </w:rPr>
        <w:t>亿元、</w:t>
      </w:r>
      <w:r>
        <w:rPr>
          <w:rFonts w:ascii="Times New Roman" w:eastAsia="Times New Roman"/>
          <w:color w:val="231F20"/>
        </w:rPr>
        <w:t>12.26</w:t>
      </w:r>
      <w:r>
        <w:rPr>
          <w:color w:val="231F20"/>
        </w:rPr>
        <w:t>亿元、</w:t>
      </w:r>
      <w:r>
        <w:rPr>
          <w:rFonts w:ascii="Times New Roman" w:eastAsia="Times New Roman"/>
          <w:color w:val="231F20"/>
        </w:rPr>
        <w:t xml:space="preserve">85.84 </w:t>
      </w:r>
      <w:r>
        <w:rPr>
          <w:color w:val="231F20"/>
        </w:rPr>
        <w:t>亿元。</w:t>
      </w:r>
    </w:p>
    <w:p w:rsidR="0082190D" w:rsidRDefault="0082190D" w:rsidP="0082190D">
      <w:pPr>
        <w:pStyle w:val="a5"/>
        <w:rPr>
          <w:sz w:val="20"/>
        </w:rPr>
      </w:pPr>
    </w:p>
    <w:p w:rsidR="0082190D" w:rsidRDefault="0082190D" w:rsidP="0082190D">
      <w:pPr>
        <w:pStyle w:val="a5"/>
        <w:spacing w:before="9"/>
        <w:rPr>
          <w:sz w:val="15"/>
        </w:rPr>
      </w:pPr>
    </w:p>
    <w:p w:rsidR="0082190D" w:rsidRDefault="0082190D" w:rsidP="0082190D">
      <w:pPr>
        <w:ind w:left="853"/>
        <w:rPr>
          <w:sz w:val="28"/>
        </w:rPr>
      </w:pPr>
      <w:r>
        <w:rPr>
          <w:color w:val="0A376A"/>
          <w:sz w:val="28"/>
        </w:rPr>
        <w:t>三、下一步工作</w:t>
      </w:r>
    </w:p>
    <w:p w:rsidR="0082190D" w:rsidRDefault="0082190D" w:rsidP="0082190D">
      <w:pPr>
        <w:pStyle w:val="a5"/>
        <w:spacing w:before="7"/>
        <w:rPr>
          <w:sz w:val="36"/>
        </w:rPr>
      </w:pPr>
    </w:p>
    <w:p w:rsidR="0082190D" w:rsidRDefault="0082190D" w:rsidP="0082190D">
      <w:pPr>
        <w:pStyle w:val="a5"/>
        <w:spacing w:line="374" w:lineRule="auto"/>
        <w:ind w:left="388" w:right="1673" w:firstLine="425"/>
        <w:jc w:val="both"/>
      </w:pPr>
      <w:r>
        <w:rPr>
          <w:color w:val="231F20"/>
        </w:rPr>
        <w:t>中小银行补充资本工作取得了积极进展，但受疫情冲击影响，中小银行的资产质量和盈利能力仍然承压，补充资本的需求较大，部分中小银行资质相对较差或经验不足，通过市场化方式发行资本补充工具面临较大困难。下一步，要进一步完善银行补充资本的市场环境和配套政策，支持地方政府</w:t>
      </w:r>
    </w:p>
    <w:p w:rsidR="0082190D" w:rsidRDefault="0082190D" w:rsidP="0082190D">
      <w:pPr>
        <w:spacing w:line="374" w:lineRule="auto"/>
        <w:jc w:val="both"/>
        <w:sectPr w:rsidR="0082190D">
          <w:type w:val="continuous"/>
          <w:pgSz w:w="11910" w:h="16160"/>
          <w:pgMar w:top="1520" w:right="0" w:bottom="280" w:left="520" w:header="720" w:footer="720" w:gutter="0"/>
          <w:cols w:num="2" w:space="720" w:equalWidth="0">
            <w:col w:w="5090" w:space="40"/>
            <w:col w:w="6260"/>
          </w:cols>
        </w:sectPr>
      </w:pPr>
    </w:p>
    <w:p w:rsidR="0082190D" w:rsidRDefault="0082190D" w:rsidP="0082190D">
      <w:pPr>
        <w:pStyle w:val="a5"/>
        <w:rPr>
          <w:sz w:val="20"/>
        </w:rPr>
      </w:pPr>
    </w:p>
    <w:p w:rsidR="0082190D" w:rsidRDefault="0082190D" w:rsidP="0082190D">
      <w:pPr>
        <w:pStyle w:val="a5"/>
        <w:spacing w:before="7"/>
        <w:rPr>
          <w:sz w:val="16"/>
        </w:rPr>
      </w:pPr>
    </w:p>
    <w:p w:rsidR="0082190D" w:rsidRDefault="0082190D" w:rsidP="0082190D">
      <w:pPr>
        <w:rPr>
          <w:sz w:val="16"/>
        </w:rPr>
        <w:sectPr w:rsidR="0082190D">
          <w:pgSz w:w="11910" w:h="16160"/>
          <w:pgMar w:top="1400" w:right="0" w:bottom="280" w:left="520" w:header="1067" w:footer="0" w:gutter="0"/>
          <w:cols w:space="720"/>
        </w:sectPr>
      </w:pPr>
    </w:p>
    <w:p w:rsidR="0082190D" w:rsidRDefault="0082190D" w:rsidP="0082190D">
      <w:pPr>
        <w:pStyle w:val="a5"/>
        <w:spacing w:before="58" w:line="374" w:lineRule="auto"/>
        <w:ind w:left="1180"/>
        <w:jc w:val="both"/>
      </w:pPr>
      <w:r>
        <w:rPr>
          <w:color w:val="231F20"/>
        </w:rPr>
        <w:lastRenderedPageBreak/>
        <w:t>在下达的额度内依法依规发行专项债券补充资本，指导支持中小银行用好用足现有市场化渠道，探索开发创新型资本补充工具，健全可持续的资本补充体制机制。同时，将中</w:t>
      </w:r>
    </w:p>
    <w:p w:rsidR="0082190D" w:rsidRDefault="0082190D" w:rsidP="0082190D">
      <w:pPr>
        <w:pStyle w:val="a5"/>
        <w:spacing w:before="58" w:line="374" w:lineRule="auto"/>
        <w:ind w:left="402" w:right="1404"/>
        <w:jc w:val="both"/>
      </w:pPr>
      <w:r>
        <w:br w:type="column"/>
      </w:r>
      <w:r>
        <w:rPr>
          <w:color w:val="231F20"/>
        </w:rPr>
        <w:lastRenderedPageBreak/>
        <w:t>小银行改革和补充资本相结合，推动中小银行厘清定位、完善治理、加强风险管控，形成健康发展的长效机制。</w:t>
      </w:r>
    </w:p>
    <w:p w:rsidR="0082190D" w:rsidRDefault="0082190D" w:rsidP="0082190D">
      <w:pPr>
        <w:spacing w:line="374" w:lineRule="auto"/>
        <w:jc w:val="both"/>
        <w:sectPr w:rsidR="0082190D">
          <w:type w:val="continuous"/>
          <w:pgSz w:w="11910" w:h="16160"/>
          <w:pgMar w:top="1520" w:right="0" w:bottom="280" w:left="520" w:header="720" w:footer="720" w:gutter="0"/>
          <w:cols w:num="2" w:space="720" w:equalWidth="0">
            <w:col w:w="5359" w:space="40"/>
            <w:col w:w="5991"/>
          </w:cols>
        </w:sectPr>
      </w:pPr>
    </w:p>
    <w:p w:rsidR="0082190D" w:rsidRDefault="0082190D" w:rsidP="0082190D">
      <w:pPr>
        <w:pStyle w:val="a5"/>
        <w:rPr>
          <w:sz w:val="20"/>
        </w:rPr>
      </w:pPr>
    </w:p>
    <w:p w:rsidR="0082190D" w:rsidRDefault="0082190D" w:rsidP="0082190D">
      <w:pPr>
        <w:pStyle w:val="a5"/>
        <w:rPr>
          <w:sz w:val="20"/>
        </w:rPr>
      </w:pPr>
    </w:p>
    <w:p w:rsidR="0082190D" w:rsidRDefault="0082190D" w:rsidP="0082190D">
      <w:pPr>
        <w:pStyle w:val="a5"/>
        <w:rPr>
          <w:sz w:val="20"/>
        </w:rPr>
      </w:pPr>
    </w:p>
    <w:p w:rsidR="0082190D" w:rsidRDefault="0082190D" w:rsidP="0082190D">
      <w:pPr>
        <w:pStyle w:val="a5"/>
        <w:rPr>
          <w:sz w:val="20"/>
        </w:rPr>
      </w:pPr>
    </w:p>
    <w:p w:rsidR="0082190D" w:rsidRDefault="0082190D" w:rsidP="0082190D">
      <w:pPr>
        <w:tabs>
          <w:tab w:val="left" w:pos="3760"/>
        </w:tabs>
        <w:spacing w:before="228"/>
        <w:ind w:left="2401"/>
        <w:rPr>
          <w:sz w:val="34"/>
        </w:rPr>
      </w:pPr>
      <w:r>
        <w:rPr>
          <w:color w:val="0A376A"/>
          <w:sz w:val="34"/>
        </w:rPr>
        <w:t>专题七</w:t>
      </w:r>
      <w:r>
        <w:rPr>
          <w:color w:val="0A376A"/>
          <w:sz w:val="34"/>
        </w:rPr>
        <w:tab/>
        <w:t>公募基金流动性风险压力测试</w:t>
      </w:r>
    </w:p>
    <w:p w:rsidR="0082190D" w:rsidRDefault="0082190D" w:rsidP="0082190D">
      <w:pPr>
        <w:pStyle w:val="a5"/>
        <w:rPr>
          <w:sz w:val="20"/>
        </w:rPr>
      </w:pPr>
    </w:p>
    <w:p w:rsidR="0082190D" w:rsidRDefault="0082190D" w:rsidP="0082190D">
      <w:pPr>
        <w:pStyle w:val="a5"/>
        <w:rPr>
          <w:sz w:val="20"/>
        </w:rPr>
      </w:pPr>
    </w:p>
    <w:p w:rsidR="0082190D" w:rsidRDefault="0082190D" w:rsidP="0082190D">
      <w:pPr>
        <w:pStyle w:val="a5"/>
        <w:rPr>
          <w:sz w:val="19"/>
        </w:rPr>
      </w:pPr>
    </w:p>
    <w:p w:rsidR="0082190D" w:rsidRDefault="0082190D" w:rsidP="0082190D">
      <w:pPr>
        <w:rPr>
          <w:sz w:val="19"/>
        </w:rPr>
        <w:sectPr w:rsidR="0082190D">
          <w:pgSz w:w="11910" w:h="16160"/>
          <w:pgMar w:top="1400" w:right="0" w:bottom="280" w:left="520" w:header="1067" w:footer="0" w:gutter="0"/>
          <w:cols w:space="720"/>
        </w:sectPr>
      </w:pPr>
    </w:p>
    <w:p w:rsidR="0082190D" w:rsidRDefault="0082190D" w:rsidP="0082190D">
      <w:pPr>
        <w:pStyle w:val="a5"/>
        <w:spacing w:before="77" w:line="374" w:lineRule="auto"/>
        <w:ind w:left="897" w:firstLine="425"/>
        <w:jc w:val="both"/>
      </w:pPr>
      <w:r>
        <w:rPr>
          <w:rFonts w:ascii="Times New Roman" w:eastAsia="Times New Roman"/>
          <w:color w:val="231F20"/>
        </w:rPr>
        <w:lastRenderedPageBreak/>
        <w:t>2021</w:t>
      </w:r>
      <w:r>
        <w:rPr>
          <w:color w:val="231F20"/>
        </w:rPr>
        <w:t>年</w:t>
      </w:r>
      <w:r>
        <w:rPr>
          <w:rFonts w:ascii="Times New Roman" w:eastAsia="Times New Roman"/>
          <w:color w:val="231F20"/>
        </w:rPr>
        <w:t>1</w:t>
      </w:r>
      <w:r>
        <w:rPr>
          <w:color w:val="231F20"/>
        </w:rPr>
        <w:t>月，人民银行开展公募基金流动性风险压力测试，评估我国公募基金应对极端赎回冲击的流动性管理能力。</w:t>
      </w:r>
    </w:p>
    <w:p w:rsidR="0082190D" w:rsidRDefault="0082190D" w:rsidP="0082190D">
      <w:pPr>
        <w:pStyle w:val="a5"/>
        <w:rPr>
          <w:sz w:val="20"/>
        </w:rPr>
      </w:pPr>
    </w:p>
    <w:p w:rsidR="0082190D" w:rsidRDefault="0082190D" w:rsidP="0082190D">
      <w:pPr>
        <w:pStyle w:val="a5"/>
        <w:spacing w:before="7"/>
        <w:rPr>
          <w:sz w:val="15"/>
        </w:rPr>
      </w:pPr>
    </w:p>
    <w:p w:rsidR="0082190D" w:rsidRDefault="0082190D" w:rsidP="0082190D">
      <w:pPr>
        <w:ind w:left="1362"/>
        <w:rPr>
          <w:rFonts w:ascii="黑体" w:eastAsia="黑体"/>
          <w:sz w:val="28"/>
        </w:rPr>
      </w:pPr>
      <w:r>
        <w:rPr>
          <w:rFonts w:ascii="黑体" w:eastAsia="黑体" w:hint="eastAsia"/>
          <w:color w:val="0A376A"/>
          <w:sz w:val="28"/>
        </w:rPr>
        <w:t>一、压力测试基本情况</w:t>
      </w:r>
    </w:p>
    <w:p w:rsidR="0082190D" w:rsidRDefault="0082190D" w:rsidP="0082190D">
      <w:pPr>
        <w:pStyle w:val="a5"/>
        <w:spacing w:before="6"/>
        <w:rPr>
          <w:rFonts w:ascii="黑体"/>
          <w:sz w:val="36"/>
        </w:rPr>
      </w:pPr>
    </w:p>
    <w:p w:rsidR="0082190D" w:rsidRDefault="0082190D" w:rsidP="0082190D">
      <w:pPr>
        <w:pStyle w:val="a5"/>
        <w:spacing w:line="374" w:lineRule="auto"/>
        <w:ind w:left="897" w:right="8" w:firstLine="425"/>
      </w:pPr>
      <w:r>
        <w:rPr>
          <w:color w:val="231F20"/>
        </w:rPr>
        <w:t>测试对象。选取</w:t>
      </w:r>
      <w:r>
        <w:rPr>
          <w:rFonts w:ascii="Times New Roman" w:eastAsia="Times New Roman"/>
          <w:color w:val="231F20"/>
        </w:rPr>
        <w:t>2020</w:t>
      </w:r>
      <w:r>
        <w:rPr>
          <w:color w:val="231F20"/>
        </w:rPr>
        <w:t>年末存续的</w:t>
      </w:r>
      <w:r>
        <w:rPr>
          <w:rFonts w:ascii="Times New Roman" w:eastAsia="Times New Roman"/>
          <w:color w:val="231F20"/>
        </w:rPr>
        <w:t>5926</w:t>
      </w:r>
      <w:r>
        <w:rPr>
          <w:color w:val="231F20"/>
        </w:rPr>
        <w:t>只公募基金进行压力测试。</w:t>
      </w:r>
    </w:p>
    <w:p w:rsidR="0082190D" w:rsidRDefault="0082190D" w:rsidP="0082190D">
      <w:pPr>
        <w:pStyle w:val="a5"/>
        <w:spacing w:before="1" w:line="374" w:lineRule="auto"/>
        <w:ind w:left="897" w:firstLine="425"/>
        <w:jc w:val="both"/>
      </w:pPr>
      <w:r>
        <w:rPr>
          <w:color w:val="231F20"/>
        </w:rPr>
        <w:t>测试模型。通过考察不同压力情景下参试公募基金应对赎回需求的流动性缺口，评估公募基金在不同程度流动性冲击下的兑付能力。选取净赎回率作为公募基金流动性冲击的代理变量，根据各类公募基金历史申购赎回数据模拟不同压力情景下可能面临的赎回需求。将公募基金所持资产分为</w:t>
      </w:r>
      <w:r>
        <w:rPr>
          <w:rFonts w:ascii="Times New Roman" w:eastAsia="Times New Roman"/>
          <w:color w:val="231F20"/>
        </w:rPr>
        <w:t>13</w:t>
      </w:r>
      <w:r>
        <w:rPr>
          <w:color w:val="231F20"/>
        </w:rPr>
        <w:t>类，按</w:t>
      </w:r>
    </w:p>
    <w:p w:rsidR="0082190D" w:rsidRDefault="0082190D" w:rsidP="0082190D">
      <w:pPr>
        <w:pStyle w:val="a5"/>
        <w:spacing w:before="77" w:line="374" w:lineRule="auto"/>
        <w:ind w:left="402" w:right="1688"/>
        <w:jc w:val="both"/>
      </w:pPr>
      <w:r>
        <w:br w:type="column"/>
      </w:r>
      <w:r>
        <w:rPr>
          <w:color w:val="231F20"/>
        </w:rPr>
        <w:lastRenderedPageBreak/>
        <w:t>流动性不同分别赋予相应权重，根据</w:t>
      </w:r>
      <w:r>
        <w:rPr>
          <w:rFonts w:ascii="Times New Roman" w:eastAsia="Times New Roman"/>
          <w:color w:val="231F20"/>
        </w:rPr>
        <w:t>2020</w:t>
      </w:r>
      <w:r>
        <w:rPr>
          <w:color w:val="231F20"/>
        </w:rPr>
        <w:t>年末公募基金资产负债表数据计算每只公募基金流动性加权资产总额，并对公募基金在投资、运营中因质押融资、费用计提等产生的负债进行扣减，得到可用于兑付赎回需求的流动性加权资产净额。若参试公募基金流动性加权资产净额在压力情景下可以应对赎回需求，则通过压力测试。</w:t>
      </w:r>
    </w:p>
    <w:p w:rsidR="0082190D" w:rsidRDefault="0082190D" w:rsidP="0082190D">
      <w:pPr>
        <w:pStyle w:val="a5"/>
        <w:spacing w:before="2" w:line="374" w:lineRule="auto"/>
        <w:ind w:left="402" w:right="1688" w:firstLine="425"/>
        <w:jc w:val="both"/>
      </w:pPr>
      <w:r>
        <w:rPr>
          <w:color w:val="231F20"/>
        </w:rPr>
        <w:t>压力情景。按照投资对象和投资策略等因素，公募基金可分为普通股票型基金、被动指数型基金、中长期纯债型基金等</w:t>
      </w:r>
      <w:r>
        <w:rPr>
          <w:rFonts w:ascii="Times New Roman" w:eastAsia="Times New Roman"/>
          <w:color w:val="231F20"/>
        </w:rPr>
        <w:t>20</w:t>
      </w:r>
      <w:r>
        <w:rPr>
          <w:color w:val="231F20"/>
        </w:rPr>
        <w:t>个类型，不同类型公募基金历史净赎回率分布之间存在差异。根据历史申购赎回数据对每一类型公募基金按照赎回冲击程度设置轻度和重度</w:t>
      </w:r>
      <w:r>
        <w:rPr>
          <w:rFonts w:ascii="Times New Roman" w:eastAsia="Times New Roman"/>
          <w:color w:val="231F20"/>
        </w:rPr>
        <w:t>2</w:t>
      </w:r>
      <w:r>
        <w:rPr>
          <w:color w:val="231F20"/>
        </w:rPr>
        <w:t>个压力情景，分别对应</w:t>
      </w:r>
      <w:r>
        <w:rPr>
          <w:rFonts w:ascii="Times New Roman" w:eastAsia="Times New Roman"/>
          <w:color w:val="231F20"/>
        </w:rPr>
        <w:t>10%</w:t>
      </w:r>
      <w:r>
        <w:rPr>
          <w:color w:val="231F20"/>
        </w:rPr>
        <w:t>和</w:t>
      </w:r>
      <w:r>
        <w:rPr>
          <w:rFonts w:ascii="Times New Roman" w:eastAsia="Times New Roman"/>
          <w:color w:val="231F20"/>
        </w:rPr>
        <w:t>5%</w:t>
      </w:r>
      <w:r>
        <w:rPr>
          <w:color w:val="231F20"/>
        </w:rPr>
        <w:t>置信水平下的净赎回率水平</w:t>
      </w:r>
      <w:r>
        <w:rPr>
          <w:rFonts w:ascii="Courier New" w:eastAsia="Courier New"/>
          <w:color w:val="231F20"/>
          <w:w w:val="115"/>
          <w:position w:val="9"/>
          <w:sz w:val="12"/>
        </w:rPr>
        <w:t>a</w:t>
      </w:r>
      <w:r>
        <w:rPr>
          <w:color w:val="231F20"/>
          <w:w w:val="115"/>
        </w:rPr>
        <w:t>（</w:t>
      </w:r>
      <w:r>
        <w:rPr>
          <w:color w:val="231F20"/>
        </w:rPr>
        <w:t>见表</w:t>
      </w:r>
      <w:r>
        <w:rPr>
          <w:rFonts w:ascii="Times New Roman" w:eastAsia="Times New Roman"/>
          <w:color w:val="231F20"/>
        </w:rPr>
        <w:t>2-5</w:t>
      </w:r>
      <w:r>
        <w:rPr>
          <w:color w:val="231F20"/>
        </w:rPr>
        <w:t>）。</w:t>
      </w:r>
    </w:p>
    <w:p w:rsidR="0082190D" w:rsidRDefault="0082190D" w:rsidP="0082190D">
      <w:pPr>
        <w:spacing w:line="374" w:lineRule="auto"/>
        <w:jc w:val="both"/>
        <w:sectPr w:rsidR="0082190D">
          <w:type w:val="continuous"/>
          <w:pgSz w:w="11910" w:h="16160"/>
          <w:pgMar w:top="1520" w:right="0" w:bottom="280" w:left="520" w:header="720" w:footer="720" w:gutter="0"/>
          <w:cols w:num="2" w:space="720" w:equalWidth="0">
            <w:col w:w="5075" w:space="40"/>
            <w:col w:w="6275"/>
          </w:cols>
        </w:sectPr>
      </w:pPr>
    </w:p>
    <w:p w:rsidR="0082190D" w:rsidRDefault="0082190D" w:rsidP="0082190D">
      <w:pPr>
        <w:pStyle w:val="a5"/>
        <w:spacing w:before="12"/>
        <w:rPr>
          <w:sz w:val="7"/>
        </w:rPr>
      </w:pPr>
    </w:p>
    <w:p w:rsidR="0082190D" w:rsidRDefault="0082190D" w:rsidP="0082190D">
      <w:pPr>
        <w:tabs>
          <w:tab w:val="left" w:pos="4227"/>
        </w:tabs>
        <w:spacing w:before="82"/>
        <w:ind w:left="1305"/>
        <w:rPr>
          <w:sz w:val="21"/>
        </w:rPr>
      </w:pPr>
      <w:r>
        <w:rPr>
          <w:color w:val="0A376A"/>
          <w:sz w:val="21"/>
        </w:rPr>
        <w:t>表</w:t>
      </w:r>
      <w:r>
        <w:rPr>
          <w:rFonts w:ascii="Times New Roman" w:eastAsia="Times New Roman"/>
          <w:b/>
          <w:color w:val="0A376A"/>
          <w:sz w:val="21"/>
        </w:rPr>
        <w:t>2-5</w:t>
      </w:r>
      <w:r>
        <w:rPr>
          <w:rFonts w:ascii="Times New Roman" w:eastAsia="Times New Roman"/>
          <w:b/>
          <w:color w:val="0A376A"/>
          <w:sz w:val="21"/>
        </w:rPr>
        <w:tab/>
      </w:r>
      <w:r>
        <w:rPr>
          <w:color w:val="0A376A"/>
          <w:sz w:val="21"/>
        </w:rPr>
        <w:t>各压力情景下赎回冲击</w:t>
      </w:r>
    </w:p>
    <w:p w:rsidR="0082190D" w:rsidRDefault="0082190D" w:rsidP="0082190D">
      <w:pPr>
        <w:pStyle w:val="a5"/>
        <w:spacing w:before="9"/>
        <w:rPr>
          <w:sz w:val="8"/>
        </w:rPr>
      </w:pPr>
    </w:p>
    <w:tbl>
      <w:tblPr>
        <w:tblStyle w:val="TableNormal"/>
        <w:tblW w:w="0" w:type="auto"/>
        <w:tblInd w:w="9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29"/>
        <w:gridCol w:w="2929"/>
        <w:gridCol w:w="2929"/>
      </w:tblGrid>
      <w:tr w:rsidR="0082190D" w:rsidTr="00805729">
        <w:trPr>
          <w:trHeight w:val="345"/>
        </w:trPr>
        <w:tc>
          <w:tcPr>
            <w:tcW w:w="2929" w:type="dxa"/>
            <w:vMerge w:val="restart"/>
            <w:tcBorders>
              <w:top w:val="nil"/>
              <w:left w:val="nil"/>
            </w:tcBorders>
            <w:shd w:val="clear" w:color="auto" w:fill="0A376A"/>
          </w:tcPr>
          <w:p w:rsidR="0082190D" w:rsidRDefault="0082190D" w:rsidP="00805729">
            <w:pPr>
              <w:pStyle w:val="TableParagraph"/>
              <w:spacing w:before="0"/>
              <w:jc w:val="left"/>
              <w:rPr>
                <w:sz w:val="20"/>
              </w:rPr>
            </w:pPr>
          </w:p>
          <w:p w:rsidR="0082190D" w:rsidRDefault="0082190D" w:rsidP="00805729">
            <w:pPr>
              <w:pStyle w:val="TableParagraph"/>
              <w:spacing w:before="153"/>
              <w:ind w:left="364" w:right="359"/>
              <w:jc w:val="center"/>
              <w:rPr>
                <w:sz w:val="18"/>
              </w:rPr>
            </w:pPr>
            <w:proofErr w:type="spellStart"/>
            <w:r>
              <w:rPr>
                <w:color w:val="FFFFFF"/>
                <w:sz w:val="18"/>
              </w:rPr>
              <w:t>基金类型</w:t>
            </w:r>
            <w:proofErr w:type="spellEnd"/>
          </w:p>
        </w:tc>
        <w:tc>
          <w:tcPr>
            <w:tcW w:w="2929" w:type="dxa"/>
            <w:tcBorders>
              <w:top w:val="nil"/>
            </w:tcBorders>
            <w:shd w:val="clear" w:color="auto" w:fill="0A376A"/>
          </w:tcPr>
          <w:p w:rsidR="0082190D" w:rsidRDefault="0082190D" w:rsidP="00805729">
            <w:pPr>
              <w:pStyle w:val="TableParagraph"/>
              <w:spacing w:before="59"/>
              <w:ind w:left="809" w:right="809"/>
              <w:jc w:val="center"/>
              <w:rPr>
                <w:sz w:val="18"/>
              </w:rPr>
            </w:pPr>
            <w:proofErr w:type="spellStart"/>
            <w:r>
              <w:rPr>
                <w:color w:val="FFFFFF"/>
                <w:sz w:val="18"/>
              </w:rPr>
              <w:t>轻度压力情景</w:t>
            </w:r>
            <w:proofErr w:type="spellEnd"/>
          </w:p>
        </w:tc>
        <w:tc>
          <w:tcPr>
            <w:tcW w:w="2929" w:type="dxa"/>
            <w:tcBorders>
              <w:top w:val="nil"/>
              <w:right w:val="nil"/>
            </w:tcBorders>
            <w:shd w:val="clear" w:color="auto" w:fill="0A376A"/>
          </w:tcPr>
          <w:p w:rsidR="0082190D" w:rsidRDefault="0082190D" w:rsidP="00805729">
            <w:pPr>
              <w:pStyle w:val="TableParagraph"/>
              <w:spacing w:before="59"/>
              <w:ind w:left="357" w:right="359"/>
              <w:jc w:val="center"/>
              <w:rPr>
                <w:sz w:val="18"/>
              </w:rPr>
            </w:pPr>
            <w:proofErr w:type="spellStart"/>
            <w:r>
              <w:rPr>
                <w:color w:val="FFFFFF"/>
                <w:sz w:val="18"/>
              </w:rPr>
              <w:t>重度压力情景</w:t>
            </w:r>
            <w:proofErr w:type="spellEnd"/>
          </w:p>
        </w:tc>
      </w:tr>
      <w:tr w:rsidR="0082190D" w:rsidTr="00805729">
        <w:trPr>
          <w:trHeight w:val="340"/>
        </w:trPr>
        <w:tc>
          <w:tcPr>
            <w:tcW w:w="2929" w:type="dxa"/>
            <w:vMerge/>
            <w:tcBorders>
              <w:top w:val="nil"/>
              <w:left w:val="nil"/>
            </w:tcBorders>
            <w:shd w:val="clear" w:color="auto" w:fill="0A376A"/>
          </w:tcPr>
          <w:p w:rsidR="0082190D" w:rsidRDefault="0082190D" w:rsidP="00805729">
            <w:pPr>
              <w:rPr>
                <w:sz w:val="2"/>
                <w:szCs w:val="2"/>
              </w:rPr>
            </w:pPr>
          </w:p>
        </w:tc>
        <w:tc>
          <w:tcPr>
            <w:tcW w:w="2929" w:type="dxa"/>
            <w:shd w:val="clear" w:color="auto" w:fill="0A376A"/>
          </w:tcPr>
          <w:p w:rsidR="0082190D" w:rsidRDefault="0082190D" w:rsidP="00805729">
            <w:pPr>
              <w:pStyle w:val="TableParagraph"/>
              <w:spacing w:before="54"/>
              <w:ind w:left="809" w:right="809"/>
              <w:jc w:val="center"/>
              <w:rPr>
                <w:sz w:val="18"/>
              </w:rPr>
            </w:pPr>
            <w:proofErr w:type="spellStart"/>
            <w:r>
              <w:rPr>
                <w:color w:val="FFFFFF"/>
                <w:sz w:val="18"/>
              </w:rPr>
              <w:t>净赎回率</w:t>
            </w:r>
            <w:proofErr w:type="spellEnd"/>
            <w:r>
              <w:rPr>
                <w:color w:val="FFFFFF"/>
                <w:sz w:val="18"/>
              </w:rPr>
              <w:t>（</w:t>
            </w:r>
            <w:r>
              <w:rPr>
                <w:rFonts w:ascii="Times New Roman" w:eastAsia="Times New Roman"/>
                <w:b/>
                <w:color w:val="FFFFFF"/>
                <w:sz w:val="18"/>
              </w:rPr>
              <w:t>%</w:t>
            </w:r>
            <w:r>
              <w:rPr>
                <w:color w:val="FFFFFF"/>
                <w:sz w:val="18"/>
              </w:rPr>
              <w:t>）</w:t>
            </w:r>
          </w:p>
        </w:tc>
        <w:tc>
          <w:tcPr>
            <w:tcW w:w="2929" w:type="dxa"/>
            <w:tcBorders>
              <w:right w:val="nil"/>
            </w:tcBorders>
            <w:shd w:val="clear" w:color="auto" w:fill="0A376A"/>
          </w:tcPr>
          <w:p w:rsidR="0082190D" w:rsidRDefault="0082190D" w:rsidP="00805729">
            <w:pPr>
              <w:pStyle w:val="TableParagraph"/>
              <w:spacing w:before="54"/>
              <w:ind w:left="357" w:right="359"/>
              <w:jc w:val="center"/>
              <w:rPr>
                <w:sz w:val="18"/>
              </w:rPr>
            </w:pPr>
            <w:proofErr w:type="spellStart"/>
            <w:r>
              <w:rPr>
                <w:color w:val="FFFFFF"/>
                <w:sz w:val="18"/>
              </w:rPr>
              <w:t>净赎回率</w:t>
            </w:r>
            <w:proofErr w:type="spellEnd"/>
            <w:r>
              <w:rPr>
                <w:color w:val="FFFFFF"/>
                <w:sz w:val="18"/>
              </w:rPr>
              <w:t>（</w:t>
            </w:r>
            <w:r>
              <w:rPr>
                <w:rFonts w:ascii="Times New Roman" w:eastAsia="Times New Roman"/>
                <w:b/>
                <w:color w:val="FFFFFF"/>
                <w:sz w:val="18"/>
              </w:rPr>
              <w:t>%</w:t>
            </w:r>
            <w:r>
              <w:rPr>
                <w:color w:val="FFFFFF"/>
                <w:sz w:val="18"/>
              </w:rPr>
              <w:t>）</w:t>
            </w:r>
          </w:p>
        </w:tc>
      </w:tr>
      <w:tr w:rsidR="0082190D" w:rsidTr="00805729">
        <w:trPr>
          <w:trHeight w:val="340"/>
        </w:trPr>
        <w:tc>
          <w:tcPr>
            <w:tcW w:w="2929" w:type="dxa"/>
            <w:vMerge/>
            <w:tcBorders>
              <w:top w:val="nil"/>
              <w:left w:val="nil"/>
            </w:tcBorders>
            <w:shd w:val="clear" w:color="auto" w:fill="0A376A"/>
          </w:tcPr>
          <w:p w:rsidR="0082190D" w:rsidRDefault="0082190D" w:rsidP="00805729">
            <w:pPr>
              <w:rPr>
                <w:sz w:val="2"/>
                <w:szCs w:val="2"/>
              </w:rPr>
            </w:pPr>
          </w:p>
        </w:tc>
        <w:tc>
          <w:tcPr>
            <w:tcW w:w="2929" w:type="dxa"/>
            <w:shd w:val="clear" w:color="auto" w:fill="0A376A"/>
          </w:tcPr>
          <w:p w:rsidR="0082190D" w:rsidRDefault="0082190D" w:rsidP="00805729">
            <w:pPr>
              <w:pStyle w:val="TableParagraph"/>
              <w:spacing w:before="54"/>
              <w:ind w:left="809" w:right="809"/>
              <w:jc w:val="center"/>
              <w:rPr>
                <w:sz w:val="18"/>
              </w:rPr>
            </w:pPr>
            <w:r>
              <w:rPr>
                <w:rFonts w:ascii="Times New Roman" w:eastAsia="Times New Roman"/>
                <w:b/>
                <w:color w:val="FFFFFF"/>
                <w:sz w:val="18"/>
              </w:rPr>
              <w:t>VaR</w:t>
            </w:r>
            <w:r>
              <w:rPr>
                <w:color w:val="FFFFFF"/>
                <w:sz w:val="18"/>
              </w:rPr>
              <w:t>（</w:t>
            </w:r>
            <w:r>
              <w:rPr>
                <w:rFonts w:ascii="Times New Roman" w:eastAsia="Times New Roman"/>
                <w:b/>
                <w:color w:val="FFFFFF"/>
                <w:sz w:val="18"/>
              </w:rPr>
              <w:t>0.1</w:t>
            </w:r>
            <w:r>
              <w:rPr>
                <w:color w:val="FFFFFF"/>
                <w:sz w:val="18"/>
              </w:rPr>
              <w:t>）</w:t>
            </w:r>
          </w:p>
        </w:tc>
        <w:tc>
          <w:tcPr>
            <w:tcW w:w="2929" w:type="dxa"/>
            <w:tcBorders>
              <w:right w:val="nil"/>
            </w:tcBorders>
            <w:shd w:val="clear" w:color="auto" w:fill="0A376A"/>
          </w:tcPr>
          <w:p w:rsidR="0082190D" w:rsidRDefault="0082190D" w:rsidP="00805729">
            <w:pPr>
              <w:pStyle w:val="TableParagraph"/>
              <w:spacing w:before="54"/>
              <w:ind w:left="357" w:right="359"/>
              <w:jc w:val="center"/>
              <w:rPr>
                <w:sz w:val="18"/>
              </w:rPr>
            </w:pPr>
            <w:r>
              <w:rPr>
                <w:rFonts w:ascii="Times New Roman" w:eastAsia="Times New Roman"/>
                <w:b/>
                <w:color w:val="FFFFFF"/>
                <w:sz w:val="18"/>
              </w:rPr>
              <w:t>VaR</w:t>
            </w:r>
            <w:r>
              <w:rPr>
                <w:color w:val="FFFFFF"/>
                <w:sz w:val="18"/>
              </w:rPr>
              <w:t>（</w:t>
            </w:r>
            <w:r>
              <w:rPr>
                <w:rFonts w:ascii="Times New Roman" w:eastAsia="Times New Roman"/>
                <w:b/>
                <w:color w:val="FFFFFF"/>
                <w:sz w:val="18"/>
              </w:rPr>
              <w:t>0.05</w:t>
            </w:r>
            <w:r>
              <w:rPr>
                <w:color w:val="FFFFFF"/>
                <w:sz w:val="18"/>
              </w:rPr>
              <w:t>）</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普通股票型基金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31.23</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44.42</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被动指数型基金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31.73</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46.23</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增强指数型基金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31.23</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46.75</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偏股混合型基金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26.26</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w w:val="95"/>
                <w:sz w:val="18"/>
              </w:rPr>
              <w:t>38.5</w:t>
            </w:r>
          </w:p>
        </w:tc>
      </w:tr>
    </w:tbl>
    <w:p w:rsidR="0082190D" w:rsidRDefault="0082190D" w:rsidP="0082190D">
      <w:pPr>
        <w:pStyle w:val="a5"/>
        <w:spacing w:before="10"/>
        <w:rPr>
          <w:sz w:val="29"/>
        </w:rPr>
      </w:pPr>
      <w:r>
        <w:rPr>
          <w:noProof/>
          <w:lang w:val="en-US" w:bidi="ar-SA"/>
        </w:rPr>
        <mc:AlternateContent>
          <mc:Choice Requires="wps">
            <w:drawing>
              <wp:anchor distT="0" distB="0" distL="0" distR="0" simplePos="0" relativeHeight="251659264" behindDoc="1" locked="0" layoutInCell="1" allowOverlap="1" wp14:anchorId="1EF32749" wp14:editId="7136CCF9">
                <wp:simplePos x="0" y="0"/>
                <wp:positionH relativeFrom="page">
                  <wp:posOffset>899795</wp:posOffset>
                </wp:positionH>
                <wp:positionV relativeFrom="paragraph">
                  <wp:posOffset>270510</wp:posOffset>
                </wp:positionV>
                <wp:extent cx="1152525" cy="0"/>
                <wp:effectExtent l="13970" t="10795" r="5080" b="8255"/>
                <wp:wrapTopAndBottom/>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21.3pt" to="161.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" strokecolor="#231f20" strokeweight=".5pt">
                <w10:wrap type="topAndBottom" anchorx="page"/>
              </v:line>
            </w:pict>
          </mc:Fallback>
        </mc:AlternateContent>
      </w:r>
    </w:p>
    <w:p w:rsidR="0082190D" w:rsidRDefault="0082190D" w:rsidP="0082190D">
      <w:pPr>
        <w:spacing w:before="140"/>
        <w:ind w:left="1237"/>
        <w:rPr>
          <w:sz w:val="16"/>
        </w:rPr>
      </w:pPr>
      <w:r>
        <w:rPr>
          <w:rFonts w:ascii="Courier New" w:eastAsia="Courier New"/>
          <w:color w:val="231F20"/>
          <w:w w:val="145"/>
          <w:sz w:val="16"/>
        </w:rPr>
        <w:t>a</w:t>
      </w:r>
      <w:r>
        <w:rPr>
          <w:rFonts w:ascii="Courier New" w:eastAsia="Courier New"/>
          <w:color w:val="231F20"/>
          <w:spacing w:val="-100"/>
          <w:w w:val="145"/>
          <w:sz w:val="16"/>
        </w:rPr>
        <w:t xml:space="preserve"> </w:t>
      </w:r>
      <w:r>
        <w:rPr>
          <w:color w:val="231F20"/>
          <w:sz w:val="16"/>
        </w:rPr>
        <w:t>因样本区间滚动，2020年度公募基金流动性压力测试各压力情景下的赎回冲击与2019年度略有出入。</w:t>
      </w:r>
    </w:p>
    <w:p w:rsidR="0082190D" w:rsidRDefault="0082190D" w:rsidP="0082190D">
      <w:pPr>
        <w:rPr>
          <w:sz w:val="16"/>
        </w:rPr>
        <w:sectPr w:rsidR="0082190D">
          <w:type w:val="continuous"/>
          <w:pgSz w:w="11910" w:h="16160"/>
          <w:pgMar w:top="1520" w:right="0" w:bottom="280" w:left="520" w:header="720" w:footer="720" w:gutter="0"/>
          <w:cols w:space="720"/>
        </w:sectPr>
      </w:pPr>
    </w:p>
    <w:p w:rsidR="0082190D" w:rsidRDefault="0082190D" w:rsidP="0082190D">
      <w:pPr>
        <w:pStyle w:val="a5"/>
        <w:rPr>
          <w:sz w:val="20"/>
        </w:rPr>
      </w:pPr>
    </w:p>
    <w:p w:rsidR="0082190D" w:rsidRDefault="0082190D" w:rsidP="0082190D">
      <w:pPr>
        <w:pStyle w:val="a5"/>
        <w:spacing w:before="4"/>
        <w:rPr>
          <w:sz w:val="16"/>
        </w:rPr>
      </w:pPr>
    </w:p>
    <w:p w:rsidR="0082190D" w:rsidRDefault="0082190D" w:rsidP="0082190D">
      <w:pPr>
        <w:pStyle w:val="a5"/>
        <w:spacing w:before="72"/>
        <w:ind w:right="1868"/>
        <w:jc w:val="right"/>
      </w:pPr>
      <w:r>
        <w:rPr>
          <w:color w:val="231F20"/>
        </w:rPr>
        <w:t>续表</w:t>
      </w:r>
    </w:p>
    <w:p w:rsidR="0082190D" w:rsidRDefault="0082190D" w:rsidP="0082190D">
      <w:pPr>
        <w:pStyle w:val="a5"/>
        <w:spacing w:before="9"/>
        <w:rPr>
          <w:sz w:val="8"/>
        </w:rPr>
      </w:pPr>
    </w:p>
    <w:tbl>
      <w:tblPr>
        <w:tblStyle w:val="TableNormal"/>
        <w:tblW w:w="0" w:type="auto"/>
        <w:tblInd w:w="1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29"/>
        <w:gridCol w:w="2929"/>
        <w:gridCol w:w="2929"/>
      </w:tblGrid>
      <w:tr w:rsidR="0082190D" w:rsidTr="00805729">
        <w:trPr>
          <w:trHeight w:val="345"/>
        </w:trPr>
        <w:tc>
          <w:tcPr>
            <w:tcW w:w="2929" w:type="dxa"/>
            <w:vMerge w:val="restart"/>
            <w:tcBorders>
              <w:top w:val="nil"/>
              <w:left w:val="nil"/>
            </w:tcBorders>
            <w:shd w:val="clear" w:color="auto" w:fill="0A376A"/>
          </w:tcPr>
          <w:p w:rsidR="0082190D" w:rsidRDefault="0082190D" w:rsidP="00805729">
            <w:pPr>
              <w:pStyle w:val="TableParagraph"/>
              <w:spacing w:before="0"/>
              <w:jc w:val="left"/>
              <w:rPr>
                <w:sz w:val="20"/>
              </w:rPr>
            </w:pPr>
          </w:p>
          <w:p w:rsidR="0082190D" w:rsidRDefault="0082190D" w:rsidP="00805729">
            <w:pPr>
              <w:pStyle w:val="TableParagraph"/>
              <w:spacing w:before="153"/>
              <w:ind w:left="364" w:right="359"/>
              <w:jc w:val="center"/>
              <w:rPr>
                <w:sz w:val="18"/>
              </w:rPr>
            </w:pPr>
            <w:proofErr w:type="spellStart"/>
            <w:r>
              <w:rPr>
                <w:color w:val="FFFFFF"/>
                <w:sz w:val="18"/>
              </w:rPr>
              <w:t>基金类型</w:t>
            </w:r>
            <w:proofErr w:type="spellEnd"/>
          </w:p>
        </w:tc>
        <w:tc>
          <w:tcPr>
            <w:tcW w:w="2929" w:type="dxa"/>
            <w:tcBorders>
              <w:top w:val="nil"/>
            </w:tcBorders>
            <w:shd w:val="clear" w:color="auto" w:fill="0A376A"/>
          </w:tcPr>
          <w:p w:rsidR="0082190D" w:rsidRDefault="0082190D" w:rsidP="00805729">
            <w:pPr>
              <w:pStyle w:val="TableParagraph"/>
              <w:spacing w:before="59"/>
              <w:ind w:left="809" w:right="809"/>
              <w:jc w:val="center"/>
              <w:rPr>
                <w:sz w:val="18"/>
              </w:rPr>
            </w:pPr>
            <w:proofErr w:type="spellStart"/>
            <w:r>
              <w:rPr>
                <w:color w:val="FFFFFF"/>
                <w:sz w:val="18"/>
              </w:rPr>
              <w:t>轻度压力情景</w:t>
            </w:r>
            <w:proofErr w:type="spellEnd"/>
          </w:p>
        </w:tc>
        <w:tc>
          <w:tcPr>
            <w:tcW w:w="2929" w:type="dxa"/>
            <w:tcBorders>
              <w:top w:val="nil"/>
              <w:right w:val="nil"/>
            </w:tcBorders>
            <w:shd w:val="clear" w:color="auto" w:fill="0A376A"/>
          </w:tcPr>
          <w:p w:rsidR="0082190D" w:rsidRDefault="0082190D" w:rsidP="00805729">
            <w:pPr>
              <w:pStyle w:val="TableParagraph"/>
              <w:spacing w:before="59"/>
              <w:ind w:left="357" w:right="359"/>
              <w:jc w:val="center"/>
              <w:rPr>
                <w:sz w:val="18"/>
              </w:rPr>
            </w:pPr>
            <w:proofErr w:type="spellStart"/>
            <w:r>
              <w:rPr>
                <w:color w:val="FFFFFF"/>
                <w:sz w:val="18"/>
              </w:rPr>
              <w:t>重度压力情景</w:t>
            </w:r>
            <w:proofErr w:type="spellEnd"/>
          </w:p>
        </w:tc>
      </w:tr>
      <w:tr w:rsidR="0082190D" w:rsidTr="00805729">
        <w:trPr>
          <w:trHeight w:val="340"/>
        </w:trPr>
        <w:tc>
          <w:tcPr>
            <w:tcW w:w="2929" w:type="dxa"/>
            <w:vMerge/>
            <w:tcBorders>
              <w:top w:val="nil"/>
              <w:left w:val="nil"/>
            </w:tcBorders>
            <w:shd w:val="clear" w:color="auto" w:fill="0A376A"/>
          </w:tcPr>
          <w:p w:rsidR="0082190D" w:rsidRDefault="0082190D" w:rsidP="00805729">
            <w:pPr>
              <w:rPr>
                <w:sz w:val="2"/>
                <w:szCs w:val="2"/>
              </w:rPr>
            </w:pPr>
          </w:p>
        </w:tc>
        <w:tc>
          <w:tcPr>
            <w:tcW w:w="2929" w:type="dxa"/>
            <w:shd w:val="clear" w:color="auto" w:fill="0A376A"/>
          </w:tcPr>
          <w:p w:rsidR="0082190D" w:rsidRDefault="0082190D" w:rsidP="00805729">
            <w:pPr>
              <w:pStyle w:val="TableParagraph"/>
              <w:spacing w:before="54"/>
              <w:ind w:left="809" w:right="809"/>
              <w:jc w:val="center"/>
              <w:rPr>
                <w:sz w:val="18"/>
              </w:rPr>
            </w:pPr>
            <w:proofErr w:type="spellStart"/>
            <w:r>
              <w:rPr>
                <w:color w:val="FFFFFF"/>
                <w:sz w:val="18"/>
              </w:rPr>
              <w:t>净赎回率</w:t>
            </w:r>
            <w:proofErr w:type="spellEnd"/>
            <w:r>
              <w:rPr>
                <w:color w:val="FFFFFF"/>
                <w:sz w:val="18"/>
              </w:rPr>
              <w:t>（</w:t>
            </w:r>
            <w:r>
              <w:rPr>
                <w:rFonts w:ascii="Times New Roman" w:eastAsia="Times New Roman"/>
                <w:b/>
                <w:color w:val="FFFFFF"/>
                <w:sz w:val="18"/>
              </w:rPr>
              <w:t>%</w:t>
            </w:r>
            <w:r>
              <w:rPr>
                <w:color w:val="FFFFFF"/>
                <w:sz w:val="18"/>
              </w:rPr>
              <w:t>）</w:t>
            </w:r>
          </w:p>
        </w:tc>
        <w:tc>
          <w:tcPr>
            <w:tcW w:w="2929" w:type="dxa"/>
            <w:tcBorders>
              <w:right w:val="nil"/>
            </w:tcBorders>
            <w:shd w:val="clear" w:color="auto" w:fill="0A376A"/>
          </w:tcPr>
          <w:p w:rsidR="0082190D" w:rsidRDefault="0082190D" w:rsidP="00805729">
            <w:pPr>
              <w:pStyle w:val="TableParagraph"/>
              <w:spacing w:before="54"/>
              <w:ind w:left="357" w:right="359"/>
              <w:jc w:val="center"/>
              <w:rPr>
                <w:sz w:val="18"/>
              </w:rPr>
            </w:pPr>
            <w:proofErr w:type="spellStart"/>
            <w:r>
              <w:rPr>
                <w:color w:val="FFFFFF"/>
                <w:sz w:val="18"/>
              </w:rPr>
              <w:t>净赎回率</w:t>
            </w:r>
            <w:proofErr w:type="spellEnd"/>
            <w:r>
              <w:rPr>
                <w:color w:val="FFFFFF"/>
                <w:sz w:val="18"/>
              </w:rPr>
              <w:t>（</w:t>
            </w:r>
            <w:r>
              <w:rPr>
                <w:rFonts w:ascii="Times New Roman" w:eastAsia="Times New Roman"/>
                <w:b/>
                <w:color w:val="FFFFFF"/>
                <w:sz w:val="18"/>
              </w:rPr>
              <w:t>%</w:t>
            </w:r>
            <w:r>
              <w:rPr>
                <w:color w:val="FFFFFF"/>
                <w:sz w:val="18"/>
              </w:rPr>
              <w:t>）</w:t>
            </w:r>
          </w:p>
        </w:tc>
      </w:tr>
      <w:tr w:rsidR="0082190D" w:rsidTr="00805729">
        <w:trPr>
          <w:trHeight w:val="340"/>
        </w:trPr>
        <w:tc>
          <w:tcPr>
            <w:tcW w:w="2929" w:type="dxa"/>
            <w:vMerge/>
            <w:tcBorders>
              <w:top w:val="nil"/>
              <w:left w:val="nil"/>
            </w:tcBorders>
            <w:shd w:val="clear" w:color="auto" w:fill="0A376A"/>
          </w:tcPr>
          <w:p w:rsidR="0082190D" w:rsidRDefault="0082190D" w:rsidP="00805729">
            <w:pPr>
              <w:rPr>
                <w:sz w:val="2"/>
                <w:szCs w:val="2"/>
              </w:rPr>
            </w:pPr>
          </w:p>
        </w:tc>
        <w:tc>
          <w:tcPr>
            <w:tcW w:w="2929" w:type="dxa"/>
            <w:shd w:val="clear" w:color="auto" w:fill="0A376A"/>
          </w:tcPr>
          <w:p w:rsidR="0082190D" w:rsidRDefault="0082190D" w:rsidP="00805729">
            <w:pPr>
              <w:pStyle w:val="TableParagraph"/>
              <w:spacing w:before="54"/>
              <w:ind w:left="809" w:right="809"/>
              <w:jc w:val="center"/>
              <w:rPr>
                <w:sz w:val="18"/>
              </w:rPr>
            </w:pPr>
            <w:r>
              <w:rPr>
                <w:rFonts w:ascii="Times New Roman" w:eastAsia="Times New Roman"/>
                <w:b/>
                <w:color w:val="FFFFFF"/>
                <w:sz w:val="18"/>
              </w:rPr>
              <w:t>VaR</w:t>
            </w:r>
            <w:r>
              <w:rPr>
                <w:color w:val="FFFFFF"/>
                <w:sz w:val="18"/>
              </w:rPr>
              <w:t>（</w:t>
            </w:r>
            <w:r>
              <w:rPr>
                <w:rFonts w:ascii="Times New Roman" w:eastAsia="Times New Roman"/>
                <w:b/>
                <w:color w:val="FFFFFF"/>
                <w:sz w:val="18"/>
              </w:rPr>
              <w:t>0.1</w:t>
            </w:r>
            <w:r>
              <w:rPr>
                <w:color w:val="FFFFFF"/>
                <w:sz w:val="18"/>
              </w:rPr>
              <w:t>）</w:t>
            </w:r>
          </w:p>
        </w:tc>
        <w:tc>
          <w:tcPr>
            <w:tcW w:w="2929" w:type="dxa"/>
            <w:tcBorders>
              <w:right w:val="nil"/>
            </w:tcBorders>
            <w:shd w:val="clear" w:color="auto" w:fill="0A376A"/>
          </w:tcPr>
          <w:p w:rsidR="0082190D" w:rsidRDefault="0082190D" w:rsidP="00805729">
            <w:pPr>
              <w:pStyle w:val="TableParagraph"/>
              <w:spacing w:before="54"/>
              <w:ind w:left="357" w:right="359"/>
              <w:jc w:val="center"/>
              <w:rPr>
                <w:sz w:val="18"/>
              </w:rPr>
            </w:pPr>
            <w:r>
              <w:rPr>
                <w:rFonts w:ascii="Times New Roman" w:eastAsia="Times New Roman"/>
                <w:b/>
                <w:color w:val="FFFFFF"/>
                <w:sz w:val="18"/>
              </w:rPr>
              <w:t>VaR</w:t>
            </w:r>
            <w:r>
              <w:rPr>
                <w:color w:val="FFFFFF"/>
                <w:sz w:val="18"/>
              </w:rPr>
              <w:t>（</w:t>
            </w:r>
            <w:r>
              <w:rPr>
                <w:rFonts w:ascii="Times New Roman" w:eastAsia="Times New Roman"/>
                <w:b/>
                <w:color w:val="FFFFFF"/>
                <w:sz w:val="18"/>
              </w:rPr>
              <w:t>0.05</w:t>
            </w:r>
            <w:r>
              <w:rPr>
                <w:color w:val="FFFFFF"/>
                <w:sz w:val="18"/>
              </w:rPr>
              <w:t>）</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平衡混合型基金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13.64</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26.04</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偏债混合型基金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38.23</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53.81</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灵活配置型基金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34.88</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53.79</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中长期纯债型基金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34.39</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54.63</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短期纯债型基金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53.33</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70.18</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混合债券型一级基金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38.63</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52.39</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混合债券型二级基金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37.34</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53.12</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被动指数型债券基金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w w:val="95"/>
                <w:sz w:val="18"/>
              </w:rPr>
              <w:t>51.8</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69.64</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增强指数型债券基金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14.41</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25.29</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44"/>
              <w:ind w:left="364" w:right="359"/>
              <w:jc w:val="center"/>
              <w:rPr>
                <w:sz w:val="10"/>
              </w:rPr>
            </w:pPr>
            <w:proofErr w:type="spellStart"/>
            <w:r>
              <w:rPr>
                <w:color w:val="231F20"/>
                <w:sz w:val="18"/>
              </w:rPr>
              <w:t>货币市场型基金</w:t>
            </w:r>
            <w:proofErr w:type="spellEnd"/>
            <w:r>
              <w:rPr>
                <w:color w:val="231F20"/>
                <w:position w:val="9"/>
                <w:sz w:val="10"/>
              </w:rPr>
              <w:t>1</w:t>
            </w:r>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39.36</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56.65</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股票多空型基金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41.85</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56.19</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rPr>
            </w:pPr>
            <w:proofErr w:type="spellStart"/>
            <w:r>
              <w:rPr>
                <w:color w:val="231F20"/>
                <w:sz w:val="18"/>
              </w:rPr>
              <w:t>商品型基金</w:t>
            </w:r>
            <w:proofErr w:type="spellEnd"/>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45.21</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62.09</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lang w:eastAsia="zh-CN"/>
              </w:rPr>
            </w:pPr>
            <w:r>
              <w:rPr>
                <w:color w:val="231F20"/>
                <w:sz w:val="18"/>
                <w:lang w:eastAsia="zh-CN"/>
              </w:rPr>
              <w:t>国际（QDII）股票型基金</w:t>
            </w:r>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25.98</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42.14</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lang w:eastAsia="zh-CN"/>
              </w:rPr>
            </w:pPr>
            <w:r>
              <w:rPr>
                <w:color w:val="231F20"/>
                <w:sz w:val="18"/>
                <w:lang w:eastAsia="zh-CN"/>
              </w:rPr>
              <w:t>国际（QDII）混合型基金</w:t>
            </w:r>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22.96</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35.04</w:t>
            </w:r>
          </w:p>
        </w:tc>
      </w:tr>
      <w:tr w:rsidR="0082190D" w:rsidTr="00805729">
        <w:trPr>
          <w:trHeight w:val="340"/>
        </w:trPr>
        <w:tc>
          <w:tcPr>
            <w:tcW w:w="2929" w:type="dxa"/>
            <w:tcBorders>
              <w:left w:val="nil"/>
            </w:tcBorders>
            <w:shd w:val="clear" w:color="auto" w:fill="D4E3F5"/>
          </w:tcPr>
          <w:p w:rsidR="0082190D" w:rsidRDefault="0082190D" w:rsidP="00805729">
            <w:pPr>
              <w:pStyle w:val="TableParagraph"/>
              <w:spacing w:before="54"/>
              <w:ind w:left="364" w:right="359"/>
              <w:jc w:val="center"/>
              <w:rPr>
                <w:sz w:val="18"/>
                <w:lang w:eastAsia="zh-CN"/>
              </w:rPr>
            </w:pPr>
            <w:r>
              <w:rPr>
                <w:color w:val="231F20"/>
                <w:sz w:val="18"/>
                <w:lang w:eastAsia="zh-CN"/>
              </w:rPr>
              <w:t>国际（QDII）债券型基金</w:t>
            </w:r>
          </w:p>
        </w:tc>
        <w:tc>
          <w:tcPr>
            <w:tcW w:w="2929" w:type="dxa"/>
            <w:shd w:val="clear" w:color="auto" w:fill="D4E3F5"/>
          </w:tcPr>
          <w:p w:rsidR="0082190D" w:rsidRDefault="0082190D" w:rsidP="00805729">
            <w:pPr>
              <w:pStyle w:val="TableParagraph"/>
              <w:spacing w:before="54"/>
              <w:ind w:left="809" w:right="809"/>
              <w:jc w:val="center"/>
              <w:rPr>
                <w:sz w:val="18"/>
              </w:rPr>
            </w:pPr>
            <w:r>
              <w:rPr>
                <w:color w:val="231F20"/>
                <w:sz w:val="18"/>
              </w:rPr>
              <w:t>27.71</w:t>
            </w:r>
          </w:p>
        </w:tc>
        <w:tc>
          <w:tcPr>
            <w:tcW w:w="2929" w:type="dxa"/>
            <w:tcBorders>
              <w:right w:val="nil"/>
            </w:tcBorders>
            <w:shd w:val="clear" w:color="auto" w:fill="D4E3F5"/>
          </w:tcPr>
          <w:p w:rsidR="0082190D" w:rsidRDefault="0082190D" w:rsidP="00805729">
            <w:pPr>
              <w:pStyle w:val="TableParagraph"/>
              <w:spacing w:before="54"/>
              <w:ind w:left="357" w:right="359"/>
              <w:jc w:val="center"/>
              <w:rPr>
                <w:sz w:val="18"/>
              </w:rPr>
            </w:pPr>
            <w:r>
              <w:rPr>
                <w:color w:val="231F20"/>
                <w:sz w:val="18"/>
              </w:rPr>
              <w:t>37.95</w:t>
            </w:r>
          </w:p>
        </w:tc>
      </w:tr>
      <w:tr w:rsidR="0082190D" w:rsidTr="00805729">
        <w:trPr>
          <w:trHeight w:val="345"/>
        </w:trPr>
        <w:tc>
          <w:tcPr>
            <w:tcW w:w="2929" w:type="dxa"/>
            <w:tcBorders>
              <w:left w:val="nil"/>
              <w:bottom w:val="nil"/>
            </w:tcBorders>
            <w:shd w:val="clear" w:color="auto" w:fill="D4E3F5"/>
          </w:tcPr>
          <w:p w:rsidR="0082190D" w:rsidRDefault="0082190D" w:rsidP="00805729">
            <w:pPr>
              <w:pStyle w:val="TableParagraph"/>
              <w:spacing w:before="54"/>
              <w:ind w:left="364" w:right="359"/>
              <w:jc w:val="center"/>
              <w:rPr>
                <w:sz w:val="18"/>
                <w:lang w:eastAsia="zh-CN"/>
              </w:rPr>
            </w:pPr>
            <w:r>
              <w:rPr>
                <w:color w:val="231F20"/>
                <w:sz w:val="18"/>
                <w:lang w:eastAsia="zh-CN"/>
              </w:rPr>
              <w:t>国际（QDII）另类投资基金</w:t>
            </w:r>
          </w:p>
        </w:tc>
        <w:tc>
          <w:tcPr>
            <w:tcW w:w="2929" w:type="dxa"/>
            <w:tcBorders>
              <w:bottom w:val="nil"/>
            </w:tcBorders>
            <w:shd w:val="clear" w:color="auto" w:fill="D4E3F5"/>
          </w:tcPr>
          <w:p w:rsidR="0082190D" w:rsidRDefault="0082190D" w:rsidP="00805729">
            <w:pPr>
              <w:pStyle w:val="TableParagraph"/>
              <w:spacing w:before="54"/>
              <w:ind w:left="809" w:right="809"/>
              <w:jc w:val="center"/>
              <w:rPr>
                <w:sz w:val="18"/>
              </w:rPr>
            </w:pPr>
            <w:r>
              <w:rPr>
                <w:color w:val="231F20"/>
                <w:sz w:val="18"/>
              </w:rPr>
              <w:t>22.36</w:t>
            </w:r>
          </w:p>
        </w:tc>
        <w:tc>
          <w:tcPr>
            <w:tcW w:w="2929" w:type="dxa"/>
            <w:tcBorders>
              <w:bottom w:val="nil"/>
              <w:right w:val="nil"/>
            </w:tcBorders>
            <w:shd w:val="clear" w:color="auto" w:fill="D4E3F5"/>
          </w:tcPr>
          <w:p w:rsidR="0082190D" w:rsidRDefault="0082190D" w:rsidP="00805729">
            <w:pPr>
              <w:pStyle w:val="TableParagraph"/>
              <w:spacing w:before="54"/>
              <w:ind w:left="357" w:right="359"/>
              <w:jc w:val="center"/>
              <w:rPr>
                <w:sz w:val="18"/>
              </w:rPr>
            </w:pPr>
            <w:r>
              <w:rPr>
                <w:color w:val="231F20"/>
                <w:w w:val="95"/>
                <w:sz w:val="18"/>
              </w:rPr>
              <w:t>32.4</w:t>
            </w:r>
          </w:p>
        </w:tc>
      </w:tr>
    </w:tbl>
    <w:p w:rsidR="0082190D" w:rsidRDefault="0082190D" w:rsidP="0082190D">
      <w:pPr>
        <w:spacing w:before="116"/>
        <w:ind w:left="1520"/>
        <w:rPr>
          <w:sz w:val="18"/>
        </w:rPr>
      </w:pPr>
      <w:r>
        <w:rPr>
          <w:color w:val="231F20"/>
          <w:sz w:val="18"/>
        </w:rPr>
        <w:t>注</w:t>
      </w:r>
      <w:r>
        <w:rPr>
          <w:rFonts w:ascii="Times New Roman" w:eastAsia="Times New Roman"/>
          <w:color w:val="231F20"/>
          <w:sz w:val="18"/>
        </w:rPr>
        <w:t>1</w:t>
      </w:r>
      <w:r>
        <w:rPr>
          <w:color w:val="231F20"/>
          <w:sz w:val="18"/>
        </w:rPr>
        <w:t>：据万得数据库显示，</w:t>
      </w:r>
      <w:r>
        <w:rPr>
          <w:rFonts w:ascii="Times New Roman" w:eastAsia="Times New Roman"/>
          <w:color w:val="231F20"/>
          <w:sz w:val="18"/>
        </w:rPr>
        <w:t>2020</w:t>
      </w:r>
      <w:r>
        <w:rPr>
          <w:color w:val="231F20"/>
          <w:sz w:val="18"/>
        </w:rPr>
        <w:t>年末，一级投资类型货币市场型基金的二级分类项只此一项。</w:t>
      </w:r>
    </w:p>
    <w:p w:rsidR="0082190D" w:rsidRDefault="0082190D" w:rsidP="0082190D">
      <w:pPr>
        <w:pStyle w:val="a5"/>
        <w:rPr>
          <w:sz w:val="20"/>
        </w:rPr>
      </w:pPr>
    </w:p>
    <w:p w:rsidR="0082190D" w:rsidRDefault="0082190D" w:rsidP="0082190D">
      <w:pPr>
        <w:rPr>
          <w:sz w:val="20"/>
        </w:rPr>
        <w:sectPr w:rsidR="0082190D">
          <w:pgSz w:w="11910" w:h="16160"/>
          <w:pgMar w:top="1400" w:right="0" w:bottom="280" w:left="520" w:header="1067" w:footer="0" w:gutter="0"/>
          <w:cols w:space="720"/>
        </w:sectPr>
      </w:pPr>
    </w:p>
    <w:p w:rsidR="0082190D" w:rsidRDefault="0082190D" w:rsidP="0082190D">
      <w:pPr>
        <w:spacing w:before="193"/>
        <w:ind w:left="1645"/>
        <w:rPr>
          <w:rFonts w:ascii="黑体" w:eastAsia="黑体"/>
          <w:sz w:val="28"/>
        </w:rPr>
      </w:pPr>
      <w:r>
        <w:rPr>
          <w:rFonts w:ascii="黑体" w:eastAsia="黑体" w:hint="eastAsia"/>
          <w:color w:val="0A376A"/>
          <w:sz w:val="28"/>
        </w:rPr>
        <w:lastRenderedPageBreak/>
        <w:t>二、压力测试结果</w:t>
      </w:r>
    </w:p>
    <w:p w:rsidR="0082190D" w:rsidRDefault="0082190D" w:rsidP="0082190D">
      <w:pPr>
        <w:pStyle w:val="a5"/>
        <w:spacing w:before="6"/>
        <w:rPr>
          <w:rFonts w:ascii="黑体"/>
          <w:sz w:val="36"/>
        </w:rPr>
      </w:pPr>
    </w:p>
    <w:p w:rsidR="0082190D" w:rsidRDefault="0082190D" w:rsidP="0082190D">
      <w:pPr>
        <w:pStyle w:val="a5"/>
        <w:spacing w:line="374" w:lineRule="auto"/>
        <w:ind w:left="1180" w:firstLine="425"/>
        <w:jc w:val="both"/>
      </w:pPr>
      <w:r>
        <w:rPr>
          <w:color w:val="231F20"/>
        </w:rPr>
        <w:t>压力测试结果显示，我国公募基金流动性管理能力整体较强。在轻度压力情景下， 参试公募基金全部通过压力测试，测试结果</w:t>
      </w:r>
    </w:p>
    <w:p w:rsidR="0082190D" w:rsidRDefault="0082190D" w:rsidP="0082190D">
      <w:pPr>
        <w:pStyle w:val="a5"/>
        <w:spacing w:before="192" w:line="374" w:lineRule="auto"/>
        <w:ind w:left="402" w:right="1404"/>
        <w:jc w:val="both"/>
      </w:pPr>
      <w:r>
        <w:br w:type="column"/>
      </w:r>
      <w:r>
        <w:rPr>
          <w:color w:val="231F20"/>
        </w:rPr>
        <w:lastRenderedPageBreak/>
        <w:t>与上年相同。在重度压力情景下，未通过测试的公募基金为</w:t>
      </w:r>
      <w:r>
        <w:rPr>
          <w:rFonts w:ascii="Times New Roman" w:eastAsia="Times New Roman"/>
          <w:color w:val="231F20"/>
        </w:rPr>
        <w:t>71</w:t>
      </w:r>
      <w:r>
        <w:rPr>
          <w:color w:val="231F20"/>
        </w:rPr>
        <w:t>只，占比为</w:t>
      </w:r>
      <w:r>
        <w:rPr>
          <w:rFonts w:ascii="Times New Roman" w:eastAsia="Times New Roman"/>
          <w:color w:val="231F20"/>
        </w:rPr>
        <w:t>1.20%</w:t>
      </w:r>
      <w:r>
        <w:rPr>
          <w:color w:val="231F20"/>
        </w:rPr>
        <w:t>，较上年上升</w:t>
      </w:r>
      <w:r>
        <w:rPr>
          <w:rFonts w:ascii="Times New Roman" w:eastAsia="Times New Roman"/>
          <w:color w:val="231F20"/>
        </w:rPr>
        <w:t>19</w:t>
      </w:r>
      <w:r>
        <w:rPr>
          <w:color w:val="231F20"/>
        </w:rPr>
        <w:t>只和</w:t>
      </w:r>
      <w:r>
        <w:rPr>
          <w:rFonts w:ascii="Times New Roman" w:eastAsia="Times New Roman"/>
          <w:color w:val="231F20"/>
        </w:rPr>
        <w:t>0.32</w:t>
      </w:r>
      <w:r>
        <w:rPr>
          <w:color w:val="231F20"/>
        </w:rPr>
        <w:t>个百分点，其中被动指数型债券基金未通过压力测试的比例较多（见表</w:t>
      </w:r>
      <w:r>
        <w:rPr>
          <w:rFonts w:ascii="Times New Roman" w:eastAsia="Times New Roman"/>
          <w:color w:val="231F20"/>
        </w:rPr>
        <w:t>2-6</w:t>
      </w:r>
      <w:r>
        <w:rPr>
          <w:color w:val="231F20"/>
        </w:rPr>
        <w:t>），较</w:t>
      </w:r>
      <w:r>
        <w:rPr>
          <w:rFonts w:ascii="Times New Roman" w:eastAsia="Times New Roman"/>
          <w:color w:val="231F20"/>
        </w:rPr>
        <w:t>2019</w:t>
      </w:r>
      <w:r>
        <w:rPr>
          <w:color w:val="231F20"/>
        </w:rPr>
        <w:t>年度上升</w:t>
      </w:r>
      <w:r>
        <w:rPr>
          <w:rFonts w:ascii="Times New Roman" w:eastAsia="Times New Roman"/>
          <w:color w:val="231F20"/>
        </w:rPr>
        <w:t>16.91</w:t>
      </w:r>
      <w:r>
        <w:rPr>
          <w:color w:val="231F20"/>
        </w:rPr>
        <w:t>个百分点。</w:t>
      </w:r>
    </w:p>
    <w:p w:rsidR="0082190D" w:rsidRDefault="0082190D" w:rsidP="0082190D">
      <w:pPr>
        <w:spacing w:line="374" w:lineRule="auto"/>
        <w:jc w:val="both"/>
        <w:sectPr w:rsidR="0082190D">
          <w:type w:val="continuous"/>
          <w:pgSz w:w="11910" w:h="16160"/>
          <w:pgMar w:top="1520" w:right="0" w:bottom="280" w:left="520" w:header="720" w:footer="720" w:gutter="0"/>
          <w:cols w:num="2" w:space="720" w:equalWidth="0">
            <w:col w:w="5359" w:space="40"/>
            <w:col w:w="5991"/>
          </w:cols>
        </w:sectPr>
      </w:pPr>
    </w:p>
    <w:p w:rsidR="0082190D" w:rsidRDefault="0082190D" w:rsidP="0082190D">
      <w:pPr>
        <w:pStyle w:val="a5"/>
        <w:spacing w:before="11"/>
        <w:rPr>
          <w:sz w:val="7"/>
        </w:rPr>
      </w:pPr>
    </w:p>
    <w:p w:rsidR="0082190D" w:rsidRDefault="0082190D" w:rsidP="0082190D">
      <w:pPr>
        <w:tabs>
          <w:tab w:val="left" w:pos="4090"/>
        </w:tabs>
        <w:spacing w:before="81"/>
        <w:ind w:left="1588"/>
        <w:rPr>
          <w:sz w:val="21"/>
        </w:rPr>
      </w:pPr>
      <w:r>
        <w:rPr>
          <w:color w:val="0A376A"/>
          <w:sz w:val="21"/>
        </w:rPr>
        <w:t>表</w:t>
      </w:r>
      <w:r>
        <w:rPr>
          <w:rFonts w:ascii="Times New Roman" w:eastAsia="Times New Roman"/>
          <w:b/>
          <w:color w:val="0A376A"/>
          <w:sz w:val="21"/>
        </w:rPr>
        <w:t>2-6</w:t>
      </w:r>
      <w:r>
        <w:rPr>
          <w:rFonts w:ascii="Times New Roman" w:eastAsia="Times New Roman"/>
          <w:b/>
          <w:color w:val="0A376A"/>
          <w:sz w:val="21"/>
        </w:rPr>
        <w:tab/>
      </w:r>
      <w:r>
        <w:rPr>
          <w:color w:val="0A376A"/>
          <w:sz w:val="21"/>
        </w:rPr>
        <w:t>未通过压力测试基金数量和占比</w:t>
      </w:r>
    </w:p>
    <w:p w:rsidR="0082190D" w:rsidRDefault="0082190D" w:rsidP="0082190D">
      <w:pPr>
        <w:pStyle w:val="a5"/>
        <w:spacing w:before="9"/>
        <w:rPr>
          <w:sz w:val="8"/>
        </w:rPr>
      </w:pPr>
    </w:p>
    <w:tbl>
      <w:tblPr>
        <w:tblStyle w:val="TableNormal"/>
        <w:tblW w:w="0" w:type="auto"/>
        <w:tblInd w:w="1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33"/>
        <w:gridCol w:w="1296"/>
        <w:gridCol w:w="1191"/>
        <w:gridCol w:w="1191"/>
        <w:gridCol w:w="1191"/>
        <w:gridCol w:w="1191"/>
      </w:tblGrid>
      <w:tr w:rsidR="0082190D" w:rsidTr="00805729">
        <w:trPr>
          <w:trHeight w:val="345"/>
        </w:trPr>
        <w:tc>
          <w:tcPr>
            <w:tcW w:w="2733" w:type="dxa"/>
            <w:vMerge w:val="restart"/>
            <w:tcBorders>
              <w:top w:val="nil"/>
              <w:left w:val="nil"/>
            </w:tcBorders>
            <w:shd w:val="clear" w:color="auto" w:fill="0A376A"/>
          </w:tcPr>
          <w:p w:rsidR="0082190D" w:rsidRDefault="0082190D" w:rsidP="00805729">
            <w:pPr>
              <w:pStyle w:val="TableParagraph"/>
              <w:spacing w:before="5"/>
              <w:jc w:val="left"/>
              <w:rPr>
                <w:sz w:val="18"/>
              </w:rPr>
            </w:pPr>
          </w:p>
          <w:p w:rsidR="0082190D" w:rsidRDefault="0082190D" w:rsidP="00805729">
            <w:pPr>
              <w:pStyle w:val="TableParagraph"/>
              <w:spacing w:before="0"/>
              <w:ind w:left="266" w:right="262"/>
              <w:jc w:val="center"/>
              <w:rPr>
                <w:sz w:val="18"/>
              </w:rPr>
            </w:pPr>
            <w:proofErr w:type="spellStart"/>
            <w:r>
              <w:rPr>
                <w:color w:val="FFFFFF"/>
                <w:sz w:val="18"/>
              </w:rPr>
              <w:t>基金类型</w:t>
            </w:r>
            <w:proofErr w:type="spellEnd"/>
          </w:p>
        </w:tc>
        <w:tc>
          <w:tcPr>
            <w:tcW w:w="1296" w:type="dxa"/>
            <w:vMerge w:val="restart"/>
            <w:tcBorders>
              <w:top w:val="nil"/>
            </w:tcBorders>
            <w:shd w:val="clear" w:color="auto" w:fill="0A376A"/>
          </w:tcPr>
          <w:p w:rsidR="0082190D" w:rsidRDefault="0082190D" w:rsidP="00805729">
            <w:pPr>
              <w:pStyle w:val="TableParagraph"/>
              <w:spacing w:before="115"/>
              <w:ind w:left="172" w:right="173"/>
              <w:jc w:val="center"/>
              <w:rPr>
                <w:sz w:val="18"/>
              </w:rPr>
            </w:pPr>
            <w:proofErr w:type="spellStart"/>
            <w:r>
              <w:rPr>
                <w:color w:val="FFFFFF"/>
                <w:sz w:val="18"/>
              </w:rPr>
              <w:t>参试基金数</w:t>
            </w:r>
            <w:proofErr w:type="spellEnd"/>
          </w:p>
          <w:p w:rsidR="0082190D" w:rsidRDefault="0082190D" w:rsidP="00805729">
            <w:pPr>
              <w:pStyle w:val="TableParagraph"/>
              <w:spacing w:before="10"/>
              <w:ind w:left="172" w:right="173"/>
              <w:jc w:val="center"/>
              <w:rPr>
                <w:sz w:val="18"/>
              </w:rPr>
            </w:pPr>
            <w:r>
              <w:rPr>
                <w:color w:val="FFFFFF"/>
                <w:sz w:val="18"/>
              </w:rPr>
              <w:t>（只）</w:t>
            </w:r>
          </w:p>
        </w:tc>
        <w:tc>
          <w:tcPr>
            <w:tcW w:w="2382" w:type="dxa"/>
            <w:gridSpan w:val="2"/>
            <w:tcBorders>
              <w:top w:val="nil"/>
            </w:tcBorders>
            <w:shd w:val="clear" w:color="auto" w:fill="0A376A"/>
          </w:tcPr>
          <w:p w:rsidR="0082190D" w:rsidRDefault="0082190D" w:rsidP="00805729">
            <w:pPr>
              <w:pStyle w:val="TableParagraph"/>
              <w:spacing w:before="60"/>
              <w:ind w:left="463"/>
              <w:jc w:val="left"/>
              <w:rPr>
                <w:sz w:val="18"/>
              </w:rPr>
            </w:pPr>
            <w:proofErr w:type="spellStart"/>
            <w:r>
              <w:rPr>
                <w:color w:val="FFFFFF"/>
                <w:sz w:val="18"/>
              </w:rPr>
              <w:t>未通过数量（家</w:t>
            </w:r>
            <w:proofErr w:type="spellEnd"/>
            <w:r>
              <w:rPr>
                <w:color w:val="FFFFFF"/>
                <w:sz w:val="18"/>
              </w:rPr>
              <w:t>）</w:t>
            </w:r>
          </w:p>
        </w:tc>
        <w:tc>
          <w:tcPr>
            <w:tcW w:w="2382" w:type="dxa"/>
            <w:gridSpan w:val="2"/>
            <w:tcBorders>
              <w:top w:val="nil"/>
              <w:right w:val="nil"/>
            </w:tcBorders>
            <w:shd w:val="clear" w:color="auto" w:fill="0A376A"/>
          </w:tcPr>
          <w:p w:rsidR="0082190D" w:rsidRDefault="0082190D" w:rsidP="00805729">
            <w:pPr>
              <w:pStyle w:val="TableParagraph"/>
              <w:spacing w:before="60"/>
              <w:ind w:left="731"/>
              <w:jc w:val="left"/>
              <w:rPr>
                <w:sz w:val="18"/>
              </w:rPr>
            </w:pPr>
            <w:proofErr w:type="spellStart"/>
            <w:r>
              <w:rPr>
                <w:color w:val="FFFFFF"/>
                <w:sz w:val="18"/>
              </w:rPr>
              <w:t>占比</w:t>
            </w:r>
            <w:proofErr w:type="spellEnd"/>
            <w:r>
              <w:rPr>
                <w:color w:val="FFFFFF"/>
                <w:sz w:val="18"/>
              </w:rPr>
              <w:t>（</w:t>
            </w:r>
            <w:r>
              <w:rPr>
                <w:rFonts w:ascii="Times New Roman" w:eastAsia="Times New Roman"/>
                <w:b/>
                <w:color w:val="FFFFFF"/>
                <w:sz w:val="18"/>
              </w:rPr>
              <w:t>%</w:t>
            </w:r>
            <w:r>
              <w:rPr>
                <w:color w:val="FFFFFF"/>
                <w:sz w:val="18"/>
              </w:rPr>
              <w:t>）</w:t>
            </w:r>
          </w:p>
        </w:tc>
      </w:tr>
      <w:tr w:rsidR="0082190D" w:rsidTr="00805729">
        <w:trPr>
          <w:trHeight w:val="340"/>
        </w:trPr>
        <w:tc>
          <w:tcPr>
            <w:tcW w:w="2733" w:type="dxa"/>
            <w:vMerge/>
            <w:tcBorders>
              <w:top w:val="nil"/>
              <w:left w:val="nil"/>
            </w:tcBorders>
            <w:shd w:val="clear" w:color="auto" w:fill="0A376A"/>
          </w:tcPr>
          <w:p w:rsidR="0082190D" w:rsidRDefault="0082190D" w:rsidP="00805729">
            <w:pPr>
              <w:rPr>
                <w:sz w:val="2"/>
                <w:szCs w:val="2"/>
              </w:rPr>
            </w:pPr>
          </w:p>
        </w:tc>
        <w:tc>
          <w:tcPr>
            <w:tcW w:w="1296" w:type="dxa"/>
            <w:vMerge/>
            <w:tcBorders>
              <w:top w:val="nil"/>
            </w:tcBorders>
            <w:shd w:val="clear" w:color="auto" w:fill="0A376A"/>
          </w:tcPr>
          <w:p w:rsidR="0082190D" w:rsidRDefault="0082190D" w:rsidP="00805729">
            <w:pPr>
              <w:rPr>
                <w:sz w:val="2"/>
                <w:szCs w:val="2"/>
              </w:rPr>
            </w:pPr>
          </w:p>
        </w:tc>
        <w:tc>
          <w:tcPr>
            <w:tcW w:w="1191" w:type="dxa"/>
            <w:shd w:val="clear" w:color="auto" w:fill="0A376A"/>
          </w:tcPr>
          <w:p w:rsidR="0082190D" w:rsidRDefault="0082190D" w:rsidP="00805729">
            <w:pPr>
              <w:pStyle w:val="TableParagraph"/>
              <w:spacing w:before="54"/>
              <w:ind w:left="389" w:right="390"/>
              <w:jc w:val="center"/>
              <w:rPr>
                <w:sz w:val="18"/>
              </w:rPr>
            </w:pPr>
            <w:proofErr w:type="spellStart"/>
            <w:r>
              <w:rPr>
                <w:color w:val="FFFFFF"/>
                <w:sz w:val="18"/>
              </w:rPr>
              <w:t>轻度</w:t>
            </w:r>
            <w:proofErr w:type="spellEnd"/>
          </w:p>
        </w:tc>
        <w:tc>
          <w:tcPr>
            <w:tcW w:w="1191" w:type="dxa"/>
            <w:shd w:val="clear" w:color="auto" w:fill="0A376A"/>
          </w:tcPr>
          <w:p w:rsidR="0082190D" w:rsidRDefault="0082190D" w:rsidP="00805729">
            <w:pPr>
              <w:pStyle w:val="TableParagraph"/>
              <w:spacing w:before="54"/>
              <w:ind w:left="388" w:right="391"/>
              <w:jc w:val="center"/>
              <w:rPr>
                <w:sz w:val="18"/>
              </w:rPr>
            </w:pPr>
            <w:proofErr w:type="spellStart"/>
            <w:r>
              <w:rPr>
                <w:color w:val="FFFFFF"/>
                <w:sz w:val="18"/>
              </w:rPr>
              <w:t>重度</w:t>
            </w:r>
            <w:proofErr w:type="spellEnd"/>
          </w:p>
        </w:tc>
        <w:tc>
          <w:tcPr>
            <w:tcW w:w="1191" w:type="dxa"/>
            <w:shd w:val="clear" w:color="auto" w:fill="0A376A"/>
          </w:tcPr>
          <w:p w:rsidR="0082190D" w:rsidRDefault="0082190D" w:rsidP="00805729">
            <w:pPr>
              <w:pStyle w:val="TableParagraph"/>
              <w:spacing w:before="54"/>
              <w:ind w:right="412"/>
              <w:rPr>
                <w:sz w:val="18"/>
              </w:rPr>
            </w:pPr>
            <w:proofErr w:type="spellStart"/>
            <w:r>
              <w:rPr>
                <w:color w:val="FFFFFF"/>
                <w:sz w:val="18"/>
              </w:rPr>
              <w:t>轻度</w:t>
            </w:r>
            <w:proofErr w:type="spellEnd"/>
          </w:p>
        </w:tc>
        <w:tc>
          <w:tcPr>
            <w:tcW w:w="1191" w:type="dxa"/>
            <w:tcBorders>
              <w:right w:val="nil"/>
            </w:tcBorders>
            <w:shd w:val="clear" w:color="auto" w:fill="0A376A"/>
          </w:tcPr>
          <w:p w:rsidR="0082190D" w:rsidRDefault="0082190D" w:rsidP="00805729">
            <w:pPr>
              <w:pStyle w:val="TableParagraph"/>
              <w:spacing w:before="54"/>
              <w:ind w:left="386" w:right="399"/>
              <w:jc w:val="center"/>
              <w:rPr>
                <w:sz w:val="18"/>
              </w:rPr>
            </w:pPr>
            <w:proofErr w:type="spellStart"/>
            <w:r>
              <w:rPr>
                <w:color w:val="FFFFFF"/>
                <w:sz w:val="18"/>
              </w:rPr>
              <w:t>重度</w:t>
            </w:r>
            <w:proofErr w:type="spellEnd"/>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普通股票型基金</w:t>
            </w:r>
            <w:proofErr w:type="spellEnd"/>
          </w:p>
        </w:tc>
        <w:tc>
          <w:tcPr>
            <w:tcW w:w="1296" w:type="dxa"/>
            <w:shd w:val="clear" w:color="auto" w:fill="D4E3F5"/>
          </w:tcPr>
          <w:p w:rsidR="0082190D" w:rsidRDefault="0082190D" w:rsidP="00805729">
            <w:pPr>
              <w:pStyle w:val="TableParagraph"/>
              <w:spacing w:before="54"/>
              <w:ind w:left="508"/>
              <w:jc w:val="left"/>
              <w:rPr>
                <w:sz w:val="18"/>
              </w:rPr>
            </w:pPr>
            <w:r>
              <w:rPr>
                <w:color w:val="231F20"/>
                <w:sz w:val="18"/>
              </w:rPr>
              <w:t>370</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436"/>
              <w:rPr>
                <w:sz w:val="18"/>
              </w:rPr>
            </w:pPr>
            <w:r>
              <w:rPr>
                <w:color w:val="231F20"/>
                <w:w w:val="85"/>
                <w:sz w:val="18"/>
              </w:rPr>
              <w:t>0.00</w:t>
            </w:r>
          </w:p>
        </w:tc>
        <w:tc>
          <w:tcPr>
            <w:tcW w:w="1191" w:type="dxa"/>
            <w:tcBorders>
              <w:right w:val="nil"/>
            </w:tcBorders>
            <w:shd w:val="clear" w:color="auto" w:fill="D4E3F5"/>
          </w:tcPr>
          <w:p w:rsidR="0082190D" w:rsidRDefault="0082190D" w:rsidP="00805729">
            <w:pPr>
              <w:pStyle w:val="TableParagraph"/>
              <w:spacing w:before="54"/>
              <w:ind w:left="386" w:right="399"/>
              <w:jc w:val="center"/>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被动指数型基金</w:t>
            </w:r>
            <w:proofErr w:type="spellEnd"/>
          </w:p>
        </w:tc>
        <w:tc>
          <w:tcPr>
            <w:tcW w:w="1296" w:type="dxa"/>
            <w:shd w:val="clear" w:color="auto" w:fill="D4E3F5"/>
          </w:tcPr>
          <w:p w:rsidR="0082190D" w:rsidRDefault="0082190D" w:rsidP="00805729">
            <w:pPr>
              <w:pStyle w:val="TableParagraph"/>
              <w:spacing w:before="54"/>
              <w:ind w:left="508"/>
              <w:jc w:val="left"/>
              <w:rPr>
                <w:sz w:val="18"/>
              </w:rPr>
            </w:pPr>
            <w:r>
              <w:rPr>
                <w:color w:val="231F20"/>
                <w:sz w:val="18"/>
              </w:rPr>
              <w:t>703</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436"/>
              <w:rPr>
                <w:sz w:val="18"/>
              </w:rPr>
            </w:pPr>
            <w:r>
              <w:rPr>
                <w:color w:val="231F20"/>
                <w:w w:val="85"/>
                <w:sz w:val="18"/>
              </w:rPr>
              <w:t>0.00</w:t>
            </w:r>
          </w:p>
        </w:tc>
        <w:tc>
          <w:tcPr>
            <w:tcW w:w="1191" w:type="dxa"/>
            <w:tcBorders>
              <w:right w:val="nil"/>
            </w:tcBorders>
            <w:shd w:val="clear" w:color="auto" w:fill="D4E3F5"/>
          </w:tcPr>
          <w:p w:rsidR="0082190D" w:rsidRDefault="0082190D" w:rsidP="00805729">
            <w:pPr>
              <w:pStyle w:val="TableParagraph"/>
              <w:spacing w:before="54"/>
              <w:ind w:left="386" w:right="399"/>
              <w:jc w:val="center"/>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增强指数型基金</w:t>
            </w:r>
            <w:proofErr w:type="spellEnd"/>
          </w:p>
        </w:tc>
        <w:tc>
          <w:tcPr>
            <w:tcW w:w="1296" w:type="dxa"/>
            <w:shd w:val="clear" w:color="auto" w:fill="D4E3F5"/>
          </w:tcPr>
          <w:p w:rsidR="0082190D" w:rsidRDefault="0082190D" w:rsidP="00805729">
            <w:pPr>
              <w:pStyle w:val="TableParagraph"/>
              <w:spacing w:before="54"/>
              <w:ind w:left="508"/>
              <w:jc w:val="left"/>
              <w:rPr>
                <w:sz w:val="18"/>
              </w:rPr>
            </w:pPr>
            <w:r>
              <w:rPr>
                <w:color w:val="231F20"/>
                <w:sz w:val="18"/>
              </w:rPr>
              <w:t>109</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436"/>
              <w:rPr>
                <w:sz w:val="18"/>
              </w:rPr>
            </w:pPr>
            <w:r>
              <w:rPr>
                <w:color w:val="231F20"/>
                <w:w w:val="85"/>
                <w:sz w:val="18"/>
              </w:rPr>
              <w:t>0.00</w:t>
            </w:r>
          </w:p>
        </w:tc>
        <w:tc>
          <w:tcPr>
            <w:tcW w:w="1191" w:type="dxa"/>
            <w:tcBorders>
              <w:right w:val="nil"/>
            </w:tcBorders>
            <w:shd w:val="clear" w:color="auto" w:fill="D4E3F5"/>
          </w:tcPr>
          <w:p w:rsidR="0082190D" w:rsidRDefault="0082190D" w:rsidP="00805729">
            <w:pPr>
              <w:pStyle w:val="TableParagraph"/>
              <w:spacing w:before="54"/>
              <w:ind w:left="386" w:right="399"/>
              <w:jc w:val="center"/>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偏股混合型基金</w:t>
            </w:r>
            <w:proofErr w:type="spellEnd"/>
          </w:p>
        </w:tc>
        <w:tc>
          <w:tcPr>
            <w:tcW w:w="1296" w:type="dxa"/>
            <w:shd w:val="clear" w:color="auto" w:fill="D4E3F5"/>
          </w:tcPr>
          <w:p w:rsidR="0082190D" w:rsidRDefault="0082190D" w:rsidP="00805729">
            <w:pPr>
              <w:pStyle w:val="TableParagraph"/>
              <w:spacing w:before="54"/>
              <w:ind w:left="463"/>
              <w:jc w:val="left"/>
              <w:rPr>
                <w:sz w:val="18"/>
              </w:rPr>
            </w:pPr>
            <w:r>
              <w:rPr>
                <w:color w:val="231F20"/>
                <w:sz w:val="18"/>
              </w:rPr>
              <w:t>1023</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436"/>
              <w:rPr>
                <w:sz w:val="18"/>
              </w:rPr>
            </w:pPr>
            <w:r>
              <w:rPr>
                <w:color w:val="231F20"/>
                <w:w w:val="85"/>
                <w:sz w:val="18"/>
              </w:rPr>
              <w:t>0.00</w:t>
            </w:r>
          </w:p>
        </w:tc>
        <w:tc>
          <w:tcPr>
            <w:tcW w:w="1191" w:type="dxa"/>
            <w:tcBorders>
              <w:right w:val="nil"/>
            </w:tcBorders>
            <w:shd w:val="clear" w:color="auto" w:fill="D4E3F5"/>
          </w:tcPr>
          <w:p w:rsidR="0082190D" w:rsidRDefault="0082190D" w:rsidP="00805729">
            <w:pPr>
              <w:pStyle w:val="TableParagraph"/>
              <w:spacing w:before="54"/>
              <w:ind w:left="386" w:right="399"/>
              <w:jc w:val="center"/>
              <w:rPr>
                <w:sz w:val="18"/>
              </w:rPr>
            </w:pPr>
            <w:r>
              <w:rPr>
                <w:color w:val="231F20"/>
                <w:w w:val="95"/>
                <w:sz w:val="18"/>
              </w:rPr>
              <w:t>0.00</w:t>
            </w:r>
          </w:p>
        </w:tc>
      </w:tr>
    </w:tbl>
    <w:p w:rsidR="0082190D" w:rsidRDefault="0082190D" w:rsidP="0082190D">
      <w:pPr>
        <w:jc w:val="center"/>
        <w:rPr>
          <w:sz w:val="18"/>
        </w:rPr>
        <w:sectPr w:rsidR="0082190D">
          <w:type w:val="continuous"/>
          <w:pgSz w:w="11910" w:h="16160"/>
          <w:pgMar w:top="1520" w:right="0" w:bottom="280" w:left="520" w:header="720" w:footer="720" w:gutter="0"/>
          <w:cols w:space="720"/>
        </w:sectPr>
      </w:pPr>
    </w:p>
    <w:p w:rsidR="0082190D" w:rsidRDefault="0082190D" w:rsidP="0082190D">
      <w:pPr>
        <w:pStyle w:val="a5"/>
        <w:rPr>
          <w:sz w:val="20"/>
        </w:rPr>
      </w:pPr>
    </w:p>
    <w:p w:rsidR="0082190D" w:rsidRDefault="0082190D" w:rsidP="0082190D">
      <w:pPr>
        <w:pStyle w:val="a5"/>
        <w:spacing w:before="4"/>
        <w:rPr>
          <w:sz w:val="16"/>
        </w:rPr>
      </w:pPr>
    </w:p>
    <w:p w:rsidR="0082190D" w:rsidRDefault="0082190D" w:rsidP="0082190D">
      <w:pPr>
        <w:pStyle w:val="a5"/>
        <w:spacing w:before="72"/>
        <w:ind w:right="2152"/>
        <w:jc w:val="right"/>
      </w:pPr>
      <w:r>
        <w:rPr>
          <w:color w:val="231F20"/>
        </w:rPr>
        <w:t>续表</w:t>
      </w:r>
    </w:p>
    <w:p w:rsidR="0082190D" w:rsidRDefault="0082190D" w:rsidP="0082190D">
      <w:pPr>
        <w:pStyle w:val="a5"/>
        <w:spacing w:before="9"/>
        <w:rPr>
          <w:sz w:val="8"/>
        </w:rPr>
      </w:pPr>
    </w:p>
    <w:tbl>
      <w:tblPr>
        <w:tblStyle w:val="TableNormal"/>
        <w:tblW w:w="0" w:type="auto"/>
        <w:tblInd w:w="9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33"/>
        <w:gridCol w:w="1296"/>
        <w:gridCol w:w="1191"/>
        <w:gridCol w:w="1191"/>
        <w:gridCol w:w="1191"/>
        <w:gridCol w:w="1191"/>
      </w:tblGrid>
      <w:tr w:rsidR="0082190D" w:rsidTr="00805729">
        <w:trPr>
          <w:trHeight w:val="345"/>
        </w:trPr>
        <w:tc>
          <w:tcPr>
            <w:tcW w:w="2733" w:type="dxa"/>
            <w:vMerge w:val="restart"/>
            <w:tcBorders>
              <w:top w:val="nil"/>
              <w:left w:val="nil"/>
            </w:tcBorders>
            <w:shd w:val="clear" w:color="auto" w:fill="0A376A"/>
          </w:tcPr>
          <w:p w:rsidR="0082190D" w:rsidRDefault="0082190D" w:rsidP="00805729">
            <w:pPr>
              <w:pStyle w:val="TableParagraph"/>
              <w:spacing w:before="4"/>
              <w:jc w:val="left"/>
              <w:rPr>
                <w:sz w:val="18"/>
              </w:rPr>
            </w:pPr>
          </w:p>
          <w:p w:rsidR="0082190D" w:rsidRDefault="0082190D" w:rsidP="00805729">
            <w:pPr>
              <w:pStyle w:val="TableParagraph"/>
              <w:spacing w:before="0"/>
              <w:ind w:left="266" w:right="262"/>
              <w:jc w:val="center"/>
              <w:rPr>
                <w:sz w:val="18"/>
              </w:rPr>
            </w:pPr>
            <w:proofErr w:type="spellStart"/>
            <w:r>
              <w:rPr>
                <w:color w:val="FFFFFF"/>
                <w:sz w:val="18"/>
              </w:rPr>
              <w:t>基金类型</w:t>
            </w:r>
            <w:proofErr w:type="spellEnd"/>
          </w:p>
        </w:tc>
        <w:tc>
          <w:tcPr>
            <w:tcW w:w="1296" w:type="dxa"/>
            <w:vMerge w:val="restart"/>
            <w:tcBorders>
              <w:top w:val="nil"/>
            </w:tcBorders>
            <w:shd w:val="clear" w:color="auto" w:fill="0A376A"/>
          </w:tcPr>
          <w:p w:rsidR="0082190D" w:rsidRDefault="0082190D" w:rsidP="00805729">
            <w:pPr>
              <w:pStyle w:val="TableParagraph"/>
              <w:spacing w:before="115"/>
              <w:ind w:left="172" w:right="173"/>
              <w:jc w:val="center"/>
              <w:rPr>
                <w:sz w:val="18"/>
              </w:rPr>
            </w:pPr>
            <w:proofErr w:type="spellStart"/>
            <w:r>
              <w:rPr>
                <w:color w:val="FFFFFF"/>
                <w:sz w:val="18"/>
              </w:rPr>
              <w:t>参试基金数</w:t>
            </w:r>
            <w:proofErr w:type="spellEnd"/>
          </w:p>
          <w:p w:rsidR="0082190D" w:rsidRDefault="0082190D" w:rsidP="00805729">
            <w:pPr>
              <w:pStyle w:val="TableParagraph"/>
              <w:spacing w:before="9"/>
              <w:ind w:left="172" w:right="173"/>
              <w:jc w:val="center"/>
              <w:rPr>
                <w:sz w:val="18"/>
              </w:rPr>
            </w:pPr>
            <w:r>
              <w:rPr>
                <w:color w:val="FFFFFF"/>
                <w:sz w:val="18"/>
              </w:rPr>
              <w:t>（只）</w:t>
            </w:r>
          </w:p>
        </w:tc>
        <w:tc>
          <w:tcPr>
            <w:tcW w:w="2382" w:type="dxa"/>
            <w:gridSpan w:val="2"/>
            <w:tcBorders>
              <w:top w:val="nil"/>
            </w:tcBorders>
            <w:shd w:val="clear" w:color="auto" w:fill="0A376A"/>
          </w:tcPr>
          <w:p w:rsidR="0082190D" w:rsidRDefault="0082190D" w:rsidP="00805729">
            <w:pPr>
              <w:pStyle w:val="TableParagraph"/>
              <w:spacing w:before="60"/>
              <w:ind w:left="463"/>
              <w:jc w:val="left"/>
              <w:rPr>
                <w:sz w:val="18"/>
              </w:rPr>
            </w:pPr>
            <w:proofErr w:type="spellStart"/>
            <w:r>
              <w:rPr>
                <w:color w:val="FFFFFF"/>
                <w:sz w:val="18"/>
              </w:rPr>
              <w:t>未通过数量（家</w:t>
            </w:r>
            <w:proofErr w:type="spellEnd"/>
            <w:r>
              <w:rPr>
                <w:color w:val="FFFFFF"/>
                <w:sz w:val="18"/>
              </w:rPr>
              <w:t>）</w:t>
            </w:r>
          </w:p>
        </w:tc>
        <w:tc>
          <w:tcPr>
            <w:tcW w:w="2382" w:type="dxa"/>
            <w:gridSpan w:val="2"/>
            <w:tcBorders>
              <w:top w:val="nil"/>
              <w:right w:val="nil"/>
            </w:tcBorders>
            <w:shd w:val="clear" w:color="auto" w:fill="0A376A"/>
          </w:tcPr>
          <w:p w:rsidR="0082190D" w:rsidRDefault="0082190D" w:rsidP="00805729">
            <w:pPr>
              <w:pStyle w:val="TableParagraph"/>
              <w:spacing w:before="60"/>
              <w:ind w:left="731"/>
              <w:jc w:val="left"/>
              <w:rPr>
                <w:sz w:val="18"/>
              </w:rPr>
            </w:pPr>
            <w:proofErr w:type="spellStart"/>
            <w:r>
              <w:rPr>
                <w:color w:val="FFFFFF"/>
                <w:sz w:val="18"/>
              </w:rPr>
              <w:t>占比</w:t>
            </w:r>
            <w:proofErr w:type="spellEnd"/>
            <w:r>
              <w:rPr>
                <w:color w:val="FFFFFF"/>
                <w:sz w:val="18"/>
              </w:rPr>
              <w:t>（</w:t>
            </w:r>
            <w:r>
              <w:rPr>
                <w:rFonts w:ascii="Times New Roman" w:eastAsia="Times New Roman"/>
                <w:b/>
                <w:color w:val="FFFFFF"/>
                <w:sz w:val="18"/>
              </w:rPr>
              <w:t>%</w:t>
            </w:r>
            <w:r>
              <w:rPr>
                <w:color w:val="FFFFFF"/>
                <w:sz w:val="18"/>
              </w:rPr>
              <w:t>）</w:t>
            </w:r>
          </w:p>
        </w:tc>
      </w:tr>
      <w:tr w:rsidR="0082190D" w:rsidTr="00805729">
        <w:trPr>
          <w:trHeight w:val="340"/>
        </w:trPr>
        <w:tc>
          <w:tcPr>
            <w:tcW w:w="2733" w:type="dxa"/>
            <w:vMerge/>
            <w:tcBorders>
              <w:top w:val="nil"/>
              <w:left w:val="nil"/>
            </w:tcBorders>
            <w:shd w:val="clear" w:color="auto" w:fill="0A376A"/>
          </w:tcPr>
          <w:p w:rsidR="0082190D" w:rsidRDefault="0082190D" w:rsidP="00805729">
            <w:pPr>
              <w:rPr>
                <w:sz w:val="2"/>
                <w:szCs w:val="2"/>
              </w:rPr>
            </w:pPr>
          </w:p>
        </w:tc>
        <w:tc>
          <w:tcPr>
            <w:tcW w:w="1296" w:type="dxa"/>
            <w:vMerge/>
            <w:tcBorders>
              <w:top w:val="nil"/>
            </w:tcBorders>
            <w:shd w:val="clear" w:color="auto" w:fill="0A376A"/>
          </w:tcPr>
          <w:p w:rsidR="0082190D" w:rsidRDefault="0082190D" w:rsidP="00805729">
            <w:pPr>
              <w:rPr>
                <w:sz w:val="2"/>
                <w:szCs w:val="2"/>
              </w:rPr>
            </w:pPr>
          </w:p>
        </w:tc>
        <w:tc>
          <w:tcPr>
            <w:tcW w:w="1191" w:type="dxa"/>
            <w:shd w:val="clear" w:color="auto" w:fill="0A376A"/>
          </w:tcPr>
          <w:p w:rsidR="0082190D" w:rsidRDefault="0082190D" w:rsidP="00805729">
            <w:pPr>
              <w:pStyle w:val="TableParagraph"/>
              <w:spacing w:before="54"/>
              <w:ind w:left="389" w:right="390"/>
              <w:jc w:val="center"/>
              <w:rPr>
                <w:sz w:val="18"/>
              </w:rPr>
            </w:pPr>
            <w:proofErr w:type="spellStart"/>
            <w:r>
              <w:rPr>
                <w:color w:val="FFFFFF"/>
                <w:sz w:val="18"/>
              </w:rPr>
              <w:t>轻度</w:t>
            </w:r>
            <w:proofErr w:type="spellEnd"/>
          </w:p>
        </w:tc>
        <w:tc>
          <w:tcPr>
            <w:tcW w:w="1191" w:type="dxa"/>
            <w:shd w:val="clear" w:color="auto" w:fill="0A376A"/>
          </w:tcPr>
          <w:p w:rsidR="0082190D" w:rsidRDefault="0082190D" w:rsidP="00805729">
            <w:pPr>
              <w:pStyle w:val="TableParagraph"/>
              <w:spacing w:before="54"/>
              <w:ind w:left="388" w:right="391"/>
              <w:jc w:val="center"/>
              <w:rPr>
                <w:sz w:val="18"/>
              </w:rPr>
            </w:pPr>
            <w:proofErr w:type="spellStart"/>
            <w:r>
              <w:rPr>
                <w:color w:val="FFFFFF"/>
                <w:sz w:val="18"/>
              </w:rPr>
              <w:t>重度</w:t>
            </w:r>
            <w:proofErr w:type="spellEnd"/>
          </w:p>
        </w:tc>
        <w:tc>
          <w:tcPr>
            <w:tcW w:w="1191" w:type="dxa"/>
            <w:shd w:val="clear" w:color="auto" w:fill="0A376A"/>
          </w:tcPr>
          <w:p w:rsidR="0082190D" w:rsidRDefault="0082190D" w:rsidP="00805729">
            <w:pPr>
              <w:pStyle w:val="TableParagraph"/>
              <w:spacing w:before="54"/>
              <w:ind w:left="406"/>
              <w:jc w:val="left"/>
              <w:rPr>
                <w:sz w:val="18"/>
              </w:rPr>
            </w:pPr>
            <w:proofErr w:type="spellStart"/>
            <w:r>
              <w:rPr>
                <w:color w:val="FFFFFF"/>
                <w:sz w:val="18"/>
              </w:rPr>
              <w:t>轻度</w:t>
            </w:r>
            <w:proofErr w:type="spellEnd"/>
          </w:p>
        </w:tc>
        <w:tc>
          <w:tcPr>
            <w:tcW w:w="1191" w:type="dxa"/>
            <w:tcBorders>
              <w:right w:val="nil"/>
            </w:tcBorders>
            <w:shd w:val="clear" w:color="auto" w:fill="0A376A"/>
          </w:tcPr>
          <w:p w:rsidR="0082190D" w:rsidRDefault="0082190D" w:rsidP="00805729">
            <w:pPr>
              <w:pStyle w:val="TableParagraph"/>
              <w:spacing w:before="54"/>
              <w:ind w:left="405"/>
              <w:jc w:val="left"/>
              <w:rPr>
                <w:sz w:val="18"/>
              </w:rPr>
            </w:pPr>
            <w:proofErr w:type="spellStart"/>
            <w:r>
              <w:rPr>
                <w:color w:val="FFFFFF"/>
                <w:sz w:val="18"/>
              </w:rPr>
              <w:t>重度</w:t>
            </w:r>
            <w:proofErr w:type="spellEnd"/>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平衡混合型基金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72</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偏债混合型基金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300</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1</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0.33</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灵活配置型基金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1213</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2</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0.16</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中长期纯债型基金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1221</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388" w:right="391"/>
              <w:jc w:val="center"/>
              <w:rPr>
                <w:sz w:val="18"/>
              </w:rPr>
            </w:pPr>
            <w:r>
              <w:rPr>
                <w:color w:val="231F20"/>
                <w:sz w:val="18"/>
              </w:rPr>
              <w:t>13</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1.06</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短期纯债型基金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122</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388" w:right="391"/>
              <w:jc w:val="center"/>
              <w:rPr>
                <w:sz w:val="18"/>
              </w:rPr>
            </w:pPr>
            <w:r>
              <w:rPr>
                <w:color w:val="231F20"/>
                <w:sz w:val="18"/>
              </w:rPr>
              <w:t>28</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384"/>
              <w:jc w:val="left"/>
              <w:rPr>
                <w:sz w:val="18"/>
              </w:rPr>
            </w:pPr>
            <w:r>
              <w:rPr>
                <w:color w:val="231F20"/>
                <w:sz w:val="18"/>
              </w:rPr>
              <w:t>22.95</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混合债券型一级基金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66</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混合债券型二级基金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254</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388" w:right="391"/>
              <w:jc w:val="center"/>
              <w:rPr>
                <w:sz w:val="18"/>
              </w:rPr>
            </w:pPr>
            <w:r>
              <w:rPr>
                <w:color w:val="231F20"/>
                <w:sz w:val="18"/>
              </w:rPr>
              <w:t>10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3.94</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被动指数型债券基金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88</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388" w:right="391"/>
              <w:jc w:val="center"/>
              <w:rPr>
                <w:sz w:val="18"/>
              </w:rPr>
            </w:pPr>
            <w:r>
              <w:rPr>
                <w:color w:val="231F20"/>
                <w:sz w:val="18"/>
              </w:rPr>
              <w:t>17</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384"/>
              <w:jc w:val="left"/>
              <w:rPr>
                <w:sz w:val="18"/>
              </w:rPr>
            </w:pPr>
            <w:r>
              <w:rPr>
                <w:color w:val="231F20"/>
                <w:sz w:val="18"/>
              </w:rPr>
              <w:t>19.32</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增强指数型债券基金</w:t>
            </w:r>
            <w:proofErr w:type="spellEnd"/>
          </w:p>
        </w:tc>
        <w:tc>
          <w:tcPr>
            <w:tcW w:w="1296" w:type="dxa"/>
            <w:shd w:val="clear" w:color="auto" w:fill="D4E3F5"/>
          </w:tcPr>
          <w:p w:rsidR="0082190D" w:rsidRDefault="0082190D" w:rsidP="00805729">
            <w:pPr>
              <w:pStyle w:val="TableParagraph"/>
              <w:spacing w:before="54"/>
              <w:ind w:right="1"/>
              <w:jc w:val="center"/>
              <w:rPr>
                <w:sz w:val="18"/>
              </w:rPr>
            </w:pPr>
            <w:r>
              <w:rPr>
                <w:color w:val="231F20"/>
                <w:w w:val="99"/>
                <w:sz w:val="18"/>
              </w:rPr>
              <w:t>1</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货币市场型基金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209</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股票多空型基金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19</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商品型基金</w:t>
            </w:r>
            <w:proofErr w:type="spellEnd"/>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25</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lang w:eastAsia="zh-CN"/>
              </w:rPr>
            </w:pPr>
            <w:r>
              <w:rPr>
                <w:color w:val="231F20"/>
                <w:sz w:val="18"/>
                <w:lang w:eastAsia="zh-CN"/>
              </w:rPr>
              <w:t>国际（QDII）股票型基金</w:t>
            </w:r>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80</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lang w:eastAsia="zh-CN"/>
              </w:rPr>
            </w:pPr>
            <w:r>
              <w:rPr>
                <w:color w:val="231F20"/>
                <w:sz w:val="18"/>
                <w:lang w:eastAsia="zh-CN"/>
              </w:rPr>
              <w:t>国际（QDII）混合型基金</w:t>
            </w:r>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34</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lang w:eastAsia="zh-CN"/>
              </w:rPr>
            </w:pPr>
            <w:r>
              <w:rPr>
                <w:color w:val="231F20"/>
                <w:sz w:val="18"/>
                <w:lang w:eastAsia="zh-CN"/>
              </w:rPr>
              <w:t>国际（QDII）债券型基金</w:t>
            </w:r>
          </w:p>
        </w:tc>
        <w:tc>
          <w:tcPr>
            <w:tcW w:w="1296"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0.00</w:t>
            </w:r>
          </w:p>
        </w:tc>
      </w:tr>
      <w:tr w:rsidR="0082190D" w:rsidTr="00805729">
        <w:trPr>
          <w:trHeight w:val="340"/>
        </w:trPr>
        <w:tc>
          <w:tcPr>
            <w:tcW w:w="2733" w:type="dxa"/>
            <w:tcBorders>
              <w:left w:val="nil"/>
            </w:tcBorders>
            <w:shd w:val="clear" w:color="auto" w:fill="D4E3F5"/>
          </w:tcPr>
          <w:p w:rsidR="0082190D" w:rsidRDefault="0082190D" w:rsidP="00805729">
            <w:pPr>
              <w:pStyle w:val="TableParagraph"/>
              <w:spacing w:before="54"/>
              <w:ind w:left="266" w:right="262"/>
              <w:jc w:val="center"/>
              <w:rPr>
                <w:sz w:val="18"/>
                <w:lang w:eastAsia="zh-CN"/>
              </w:rPr>
            </w:pPr>
            <w:r>
              <w:rPr>
                <w:color w:val="231F20"/>
                <w:sz w:val="18"/>
                <w:lang w:eastAsia="zh-CN"/>
              </w:rPr>
              <w:t>国际（QDII）另类投资基金</w:t>
            </w:r>
          </w:p>
        </w:tc>
        <w:tc>
          <w:tcPr>
            <w:tcW w:w="1296" w:type="dxa"/>
            <w:shd w:val="clear" w:color="auto" w:fill="D4E3F5"/>
          </w:tcPr>
          <w:p w:rsidR="0082190D" w:rsidRDefault="0082190D" w:rsidP="00805729">
            <w:pPr>
              <w:pStyle w:val="TableParagraph"/>
              <w:spacing w:before="54"/>
              <w:ind w:left="172" w:right="173"/>
              <w:jc w:val="center"/>
              <w:rPr>
                <w:sz w:val="18"/>
              </w:rPr>
            </w:pPr>
            <w:r>
              <w:rPr>
                <w:color w:val="231F20"/>
                <w:sz w:val="18"/>
              </w:rPr>
              <w:t>17</w:t>
            </w:r>
          </w:p>
        </w:tc>
        <w:tc>
          <w:tcPr>
            <w:tcW w:w="1191" w:type="dxa"/>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right="3"/>
              <w:jc w:val="center"/>
              <w:rPr>
                <w:sz w:val="18"/>
              </w:rPr>
            </w:pPr>
            <w:r>
              <w:rPr>
                <w:color w:val="231F20"/>
                <w:w w:val="99"/>
                <w:sz w:val="18"/>
              </w:rPr>
              <w:t>0</w:t>
            </w:r>
          </w:p>
        </w:tc>
        <w:tc>
          <w:tcPr>
            <w:tcW w:w="1191" w:type="dxa"/>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0.00</w:t>
            </w:r>
          </w:p>
        </w:tc>
      </w:tr>
      <w:tr w:rsidR="0082190D" w:rsidTr="00805729">
        <w:trPr>
          <w:trHeight w:val="345"/>
        </w:trPr>
        <w:tc>
          <w:tcPr>
            <w:tcW w:w="2733" w:type="dxa"/>
            <w:tcBorders>
              <w:left w:val="nil"/>
              <w:bottom w:val="nil"/>
            </w:tcBorders>
            <w:shd w:val="clear" w:color="auto" w:fill="D4E3F5"/>
          </w:tcPr>
          <w:p w:rsidR="0082190D" w:rsidRDefault="0082190D" w:rsidP="00805729">
            <w:pPr>
              <w:pStyle w:val="TableParagraph"/>
              <w:spacing w:before="54"/>
              <w:ind w:left="266" w:right="262"/>
              <w:jc w:val="center"/>
              <w:rPr>
                <w:sz w:val="18"/>
              </w:rPr>
            </w:pPr>
            <w:proofErr w:type="spellStart"/>
            <w:r>
              <w:rPr>
                <w:color w:val="231F20"/>
                <w:sz w:val="18"/>
              </w:rPr>
              <w:t>总计</w:t>
            </w:r>
            <w:proofErr w:type="spellEnd"/>
          </w:p>
        </w:tc>
        <w:tc>
          <w:tcPr>
            <w:tcW w:w="1296" w:type="dxa"/>
            <w:tcBorders>
              <w:bottom w:val="nil"/>
            </w:tcBorders>
            <w:shd w:val="clear" w:color="auto" w:fill="D4E3F5"/>
          </w:tcPr>
          <w:p w:rsidR="0082190D" w:rsidRDefault="0082190D" w:rsidP="00805729">
            <w:pPr>
              <w:pStyle w:val="TableParagraph"/>
              <w:spacing w:before="54"/>
              <w:ind w:left="172" w:right="173"/>
              <w:jc w:val="center"/>
              <w:rPr>
                <w:sz w:val="18"/>
              </w:rPr>
            </w:pPr>
            <w:r>
              <w:rPr>
                <w:color w:val="231F20"/>
                <w:sz w:val="18"/>
              </w:rPr>
              <w:t>5926</w:t>
            </w:r>
          </w:p>
        </w:tc>
        <w:tc>
          <w:tcPr>
            <w:tcW w:w="1191" w:type="dxa"/>
            <w:tcBorders>
              <w:bottom w:val="nil"/>
            </w:tcBorders>
            <w:shd w:val="clear" w:color="auto" w:fill="D4E3F5"/>
          </w:tcPr>
          <w:p w:rsidR="0082190D" w:rsidRDefault="0082190D" w:rsidP="00805729">
            <w:pPr>
              <w:pStyle w:val="TableParagraph"/>
              <w:spacing w:before="54"/>
              <w:ind w:right="1"/>
              <w:jc w:val="center"/>
              <w:rPr>
                <w:sz w:val="18"/>
              </w:rPr>
            </w:pPr>
            <w:r>
              <w:rPr>
                <w:color w:val="231F20"/>
                <w:w w:val="99"/>
                <w:sz w:val="18"/>
              </w:rPr>
              <w:t>0</w:t>
            </w:r>
          </w:p>
        </w:tc>
        <w:tc>
          <w:tcPr>
            <w:tcW w:w="1191" w:type="dxa"/>
            <w:tcBorders>
              <w:bottom w:val="nil"/>
            </w:tcBorders>
            <w:shd w:val="clear" w:color="auto" w:fill="D4E3F5"/>
          </w:tcPr>
          <w:p w:rsidR="0082190D" w:rsidRDefault="0082190D" w:rsidP="00805729">
            <w:pPr>
              <w:pStyle w:val="TableParagraph"/>
              <w:spacing w:before="54"/>
              <w:ind w:left="388" w:right="391"/>
              <w:jc w:val="center"/>
              <w:rPr>
                <w:sz w:val="18"/>
              </w:rPr>
            </w:pPr>
            <w:r>
              <w:rPr>
                <w:color w:val="231F20"/>
                <w:sz w:val="18"/>
              </w:rPr>
              <w:t>71</w:t>
            </w:r>
          </w:p>
        </w:tc>
        <w:tc>
          <w:tcPr>
            <w:tcW w:w="1191" w:type="dxa"/>
            <w:tcBorders>
              <w:bottom w:val="nil"/>
            </w:tcBorders>
            <w:shd w:val="clear" w:color="auto" w:fill="D4E3F5"/>
          </w:tcPr>
          <w:p w:rsidR="0082190D" w:rsidRDefault="0082190D" w:rsidP="00805729">
            <w:pPr>
              <w:pStyle w:val="TableParagraph"/>
              <w:spacing w:before="54"/>
              <w:ind w:left="430"/>
              <w:jc w:val="left"/>
              <w:rPr>
                <w:sz w:val="18"/>
              </w:rPr>
            </w:pPr>
            <w:r>
              <w:rPr>
                <w:color w:val="231F20"/>
                <w:w w:val="95"/>
                <w:sz w:val="18"/>
              </w:rPr>
              <w:t>0.00</w:t>
            </w:r>
          </w:p>
        </w:tc>
        <w:tc>
          <w:tcPr>
            <w:tcW w:w="1191" w:type="dxa"/>
            <w:tcBorders>
              <w:bottom w:val="nil"/>
              <w:right w:val="nil"/>
            </w:tcBorders>
            <w:shd w:val="clear" w:color="auto" w:fill="D4E3F5"/>
          </w:tcPr>
          <w:p w:rsidR="0082190D" w:rsidRDefault="0082190D" w:rsidP="00805729">
            <w:pPr>
              <w:pStyle w:val="TableParagraph"/>
              <w:spacing w:before="54"/>
              <w:ind w:left="429"/>
              <w:jc w:val="left"/>
              <w:rPr>
                <w:sz w:val="18"/>
              </w:rPr>
            </w:pPr>
            <w:r>
              <w:rPr>
                <w:color w:val="231F20"/>
                <w:w w:val="95"/>
                <w:sz w:val="18"/>
              </w:rPr>
              <w:t>1.20</w:t>
            </w:r>
          </w:p>
        </w:tc>
      </w:tr>
    </w:tbl>
    <w:p w:rsidR="0082190D" w:rsidRDefault="0082190D" w:rsidP="0082190D">
      <w:pPr>
        <w:rPr>
          <w:sz w:val="18"/>
        </w:rPr>
        <w:sectPr w:rsidR="0082190D">
          <w:pgSz w:w="11910" w:h="16160"/>
          <w:pgMar w:top="1400" w:right="0" w:bottom="280" w:left="520" w:header="1067" w:footer="0" w:gutter="0"/>
          <w:cols w:space="720"/>
        </w:sectPr>
      </w:pPr>
    </w:p>
    <w:p w:rsidR="0082190D" w:rsidRDefault="0082190D" w:rsidP="0082190D">
      <w:pPr>
        <w:pStyle w:val="a5"/>
        <w:rPr>
          <w:sz w:val="20"/>
        </w:rPr>
      </w:pPr>
    </w:p>
    <w:p w:rsidR="0082190D" w:rsidRDefault="0082190D" w:rsidP="0082190D">
      <w:pPr>
        <w:pStyle w:val="a5"/>
        <w:rPr>
          <w:sz w:val="20"/>
        </w:rPr>
      </w:pPr>
    </w:p>
    <w:p w:rsidR="0082190D" w:rsidRDefault="0082190D" w:rsidP="0082190D">
      <w:pPr>
        <w:pStyle w:val="a5"/>
        <w:rPr>
          <w:sz w:val="20"/>
        </w:rPr>
      </w:pPr>
    </w:p>
    <w:p w:rsidR="0082190D" w:rsidRDefault="0082190D" w:rsidP="0082190D">
      <w:pPr>
        <w:pStyle w:val="a5"/>
        <w:rPr>
          <w:sz w:val="20"/>
        </w:rPr>
      </w:pPr>
    </w:p>
    <w:p w:rsidR="0082190D" w:rsidRDefault="0082190D" w:rsidP="0082190D">
      <w:pPr>
        <w:tabs>
          <w:tab w:val="left" w:pos="1359"/>
        </w:tabs>
        <w:spacing w:before="228"/>
        <w:ind w:right="234"/>
        <w:jc w:val="center"/>
        <w:rPr>
          <w:sz w:val="34"/>
        </w:rPr>
      </w:pPr>
      <w:r>
        <w:rPr>
          <w:color w:val="0A376A"/>
          <w:sz w:val="34"/>
        </w:rPr>
        <w:t>专题八</w:t>
      </w:r>
      <w:r>
        <w:rPr>
          <w:color w:val="0A376A"/>
          <w:sz w:val="34"/>
        </w:rPr>
        <w:tab/>
        <w:t>规范第三方互联网平台存款</w:t>
      </w:r>
    </w:p>
    <w:p w:rsidR="0082190D" w:rsidRDefault="0082190D" w:rsidP="0082190D">
      <w:pPr>
        <w:pStyle w:val="a5"/>
        <w:rPr>
          <w:sz w:val="20"/>
        </w:rPr>
      </w:pPr>
    </w:p>
    <w:p w:rsidR="0082190D" w:rsidRDefault="0082190D" w:rsidP="0082190D">
      <w:pPr>
        <w:pStyle w:val="a5"/>
        <w:rPr>
          <w:sz w:val="20"/>
        </w:rPr>
      </w:pPr>
    </w:p>
    <w:p w:rsidR="0082190D" w:rsidRDefault="0082190D" w:rsidP="0082190D">
      <w:pPr>
        <w:pStyle w:val="a5"/>
        <w:spacing w:before="6"/>
        <w:rPr>
          <w:sz w:val="20"/>
        </w:rPr>
      </w:pPr>
    </w:p>
    <w:p w:rsidR="0082190D" w:rsidRDefault="0082190D" w:rsidP="0082190D">
      <w:pPr>
        <w:rPr>
          <w:sz w:val="20"/>
        </w:rPr>
        <w:sectPr w:rsidR="0082190D">
          <w:pgSz w:w="11910" w:h="16160"/>
          <w:pgMar w:top="1400" w:right="0" w:bottom="280" w:left="520" w:header="1067" w:footer="0" w:gutter="0"/>
          <w:cols w:space="720"/>
        </w:sectPr>
      </w:pPr>
    </w:p>
    <w:p w:rsidR="0082190D" w:rsidRDefault="0082190D" w:rsidP="0082190D">
      <w:pPr>
        <w:pStyle w:val="a5"/>
        <w:spacing w:before="58" w:line="374" w:lineRule="auto"/>
        <w:ind w:left="1180" w:firstLine="425"/>
        <w:jc w:val="both"/>
      </w:pPr>
      <w:r>
        <w:rPr>
          <w:color w:val="231F20"/>
        </w:rPr>
        <w:lastRenderedPageBreak/>
        <w:t>近年来，互联网金融快速发展，一些银行借助互联网平台的流量和场景优势，通过第三方互联网平台销售个人存款产品，突破了经营的地域限制。此类产品已成为部分中小银行跨区域吸收存款、缓解流动性压力的主要手段，加大了风险外溢的隐患。</w:t>
      </w:r>
      <w:r>
        <w:rPr>
          <w:rFonts w:ascii="Times New Roman" w:eastAsia="Times New Roman"/>
          <w:color w:val="231F20"/>
        </w:rPr>
        <w:t>2021</w:t>
      </w:r>
      <w:r>
        <w:rPr>
          <w:color w:val="231F20"/>
        </w:rPr>
        <w:t>年</w:t>
      </w:r>
      <w:r>
        <w:rPr>
          <w:rFonts w:ascii="Times New Roman" w:eastAsia="Times New Roman"/>
          <w:color w:val="231F20"/>
        </w:rPr>
        <w:t xml:space="preserve">1 </w:t>
      </w:r>
      <w:r>
        <w:rPr>
          <w:color w:val="231F20"/>
        </w:rPr>
        <w:t>月，银保监会、人民银行出台文件对第三方互联网平台存款业务进行规范。</w:t>
      </w:r>
    </w:p>
    <w:p w:rsidR="0082190D" w:rsidRDefault="0082190D" w:rsidP="0082190D">
      <w:pPr>
        <w:pStyle w:val="a5"/>
        <w:rPr>
          <w:sz w:val="20"/>
        </w:rPr>
      </w:pPr>
    </w:p>
    <w:p w:rsidR="0082190D" w:rsidRDefault="0082190D" w:rsidP="0082190D">
      <w:pPr>
        <w:pStyle w:val="a5"/>
        <w:spacing w:before="8"/>
        <w:rPr>
          <w:sz w:val="15"/>
        </w:rPr>
      </w:pPr>
    </w:p>
    <w:p w:rsidR="0082190D" w:rsidRDefault="0082190D" w:rsidP="0082190D">
      <w:pPr>
        <w:spacing w:line="249" w:lineRule="auto"/>
        <w:ind w:left="1180" w:right="8" w:firstLine="464"/>
        <w:rPr>
          <w:rFonts w:ascii="黑体" w:eastAsia="黑体"/>
          <w:sz w:val="28"/>
        </w:rPr>
      </w:pPr>
      <w:r>
        <w:rPr>
          <w:rFonts w:ascii="黑体" w:eastAsia="黑体" w:hint="eastAsia"/>
          <w:color w:val="0A376A"/>
          <w:sz w:val="28"/>
        </w:rPr>
        <w:t>一、第三方互联网平台存款业务开展情况</w:t>
      </w:r>
    </w:p>
    <w:p w:rsidR="0082190D" w:rsidRDefault="0082190D" w:rsidP="0082190D">
      <w:pPr>
        <w:pStyle w:val="a5"/>
        <w:spacing w:before="6"/>
        <w:rPr>
          <w:rFonts w:ascii="黑体"/>
          <w:sz w:val="35"/>
        </w:rPr>
      </w:pPr>
    </w:p>
    <w:p w:rsidR="0082190D" w:rsidRDefault="0082190D" w:rsidP="0082190D">
      <w:pPr>
        <w:pStyle w:val="a5"/>
        <w:spacing w:line="374" w:lineRule="auto"/>
        <w:ind w:left="1180" w:firstLine="425"/>
        <w:jc w:val="both"/>
      </w:pPr>
      <w:r>
        <w:rPr>
          <w:color w:val="231F20"/>
        </w:rPr>
        <w:t>银行通过第三方互联网平台销售存款产品，平台提供存款产品的信息展示和购买接口，不改变客户与银行间的债权债务关系。通常平台会展示银行名称、产品期限、起存金额、存款利率、计息规则等信息，突出显示“</w:t>
      </w:r>
      <w:r>
        <w:rPr>
          <w:rFonts w:ascii="Times New Roman" w:eastAsia="Times New Roman" w:hAnsi="Times New Roman"/>
          <w:color w:val="231F20"/>
        </w:rPr>
        <w:t>50</w:t>
      </w:r>
      <w:r>
        <w:rPr>
          <w:color w:val="231F20"/>
        </w:rPr>
        <w:t>万元内</w:t>
      </w:r>
      <w:r>
        <w:rPr>
          <w:rFonts w:ascii="Times New Roman" w:eastAsia="Times New Roman" w:hAnsi="Times New Roman"/>
          <w:color w:val="231F20"/>
        </w:rPr>
        <w:t>100%</w:t>
      </w:r>
      <w:r>
        <w:rPr>
          <w:color w:val="231F20"/>
        </w:rPr>
        <w:t>赔付”、“本息保障”等字样。平台存款产品均为个人定期存款，以</w:t>
      </w:r>
      <w:r>
        <w:rPr>
          <w:rFonts w:ascii="Times New Roman" w:eastAsia="Times New Roman" w:hAnsi="Times New Roman"/>
          <w:color w:val="231F20"/>
        </w:rPr>
        <w:t xml:space="preserve">5 </w:t>
      </w:r>
      <w:r>
        <w:rPr>
          <w:color w:val="231F20"/>
        </w:rPr>
        <w:t>年期存款产品为主（占比</w:t>
      </w:r>
      <w:r>
        <w:rPr>
          <w:rFonts w:ascii="Times New Roman" w:eastAsia="Times New Roman" w:hAnsi="Times New Roman"/>
          <w:color w:val="231F20"/>
        </w:rPr>
        <w:t>63%</w:t>
      </w:r>
      <w:r>
        <w:rPr>
          <w:color w:val="231F20"/>
        </w:rPr>
        <w:t>），利率普遍较高，年利率最高</w:t>
      </w:r>
      <w:r>
        <w:rPr>
          <w:rFonts w:ascii="Times New Roman" w:eastAsia="Times New Roman" w:hAnsi="Times New Roman"/>
          <w:color w:val="231F20"/>
        </w:rPr>
        <w:t>4.875%</w:t>
      </w:r>
      <w:r>
        <w:rPr>
          <w:color w:val="231F20"/>
        </w:rPr>
        <w:t>，已达到市场利率定价自律机制要求的上限。近半数产品起存金额仅</w:t>
      </w:r>
      <w:r>
        <w:rPr>
          <w:rFonts w:ascii="Times New Roman" w:eastAsia="Times New Roman" w:hAnsi="Times New Roman"/>
          <w:color w:val="231F20"/>
        </w:rPr>
        <w:t>50</w:t>
      </w:r>
      <w:r>
        <w:rPr>
          <w:color w:val="231F20"/>
        </w:rPr>
        <w:t>元，购买流程简便快捷，客户通过在平台开立的Ⅱ类银行电子账户即可完成存款产品购买，并可随时提前支取。平台不对个</w:t>
      </w:r>
    </w:p>
    <w:p w:rsidR="0082190D" w:rsidRDefault="0082190D" w:rsidP="0082190D">
      <w:pPr>
        <w:pStyle w:val="a5"/>
        <w:spacing w:before="58" w:line="374" w:lineRule="auto"/>
        <w:ind w:left="402" w:right="1404"/>
      </w:pPr>
      <w:r>
        <w:br w:type="column"/>
      </w:r>
      <w:r>
        <w:rPr>
          <w:color w:val="231F20"/>
        </w:rPr>
        <w:lastRenderedPageBreak/>
        <w:t>人客户收费，对合作银行根据日均存款余额的</w:t>
      </w:r>
      <w:r>
        <w:rPr>
          <w:rFonts w:ascii="Times New Roman" w:eastAsia="Times New Roman"/>
          <w:color w:val="231F20"/>
        </w:rPr>
        <w:t>0.2%~0.5%</w:t>
      </w:r>
      <w:r>
        <w:rPr>
          <w:color w:val="231F20"/>
        </w:rPr>
        <w:t>收取导流费。</w:t>
      </w:r>
    </w:p>
    <w:p w:rsidR="0082190D" w:rsidRDefault="0082190D" w:rsidP="0082190D">
      <w:pPr>
        <w:pStyle w:val="a5"/>
        <w:spacing w:before="1" w:line="374" w:lineRule="auto"/>
        <w:ind w:left="402" w:right="1394" w:firstLine="425"/>
        <w:jc w:val="both"/>
      </w:pPr>
      <w:r>
        <w:rPr>
          <w:color w:val="231F20"/>
        </w:rPr>
        <w:t>第三方互联网平台存款规模增长迅速， 合作银行主要为中小银行，多家高风险银行大规模吸收异地存款。据初步统计，截至</w:t>
      </w:r>
      <w:r>
        <w:rPr>
          <w:rFonts w:ascii="Times New Roman" w:eastAsia="Times New Roman"/>
          <w:color w:val="231F20"/>
        </w:rPr>
        <w:t>2020</w:t>
      </w:r>
      <w:r>
        <w:rPr>
          <w:color w:val="231F20"/>
        </w:rPr>
        <w:t>年末，约</w:t>
      </w:r>
      <w:r>
        <w:rPr>
          <w:rFonts w:ascii="Times New Roman" w:eastAsia="Times New Roman"/>
          <w:color w:val="231F20"/>
        </w:rPr>
        <w:t>89</w:t>
      </w:r>
      <w:r>
        <w:rPr>
          <w:color w:val="231F20"/>
        </w:rPr>
        <w:t>家银行（其中</w:t>
      </w:r>
      <w:r>
        <w:rPr>
          <w:rFonts w:ascii="Times New Roman" w:eastAsia="Times New Roman"/>
          <w:color w:val="231F20"/>
        </w:rPr>
        <w:t>84</w:t>
      </w:r>
      <w:r>
        <w:rPr>
          <w:color w:val="231F20"/>
        </w:rPr>
        <w:t>家为中小银行）通过第三方互联网平台吸收的存款余额约</w:t>
      </w:r>
      <w:r>
        <w:rPr>
          <w:rFonts w:ascii="Times New Roman" w:eastAsia="Times New Roman"/>
          <w:color w:val="231F20"/>
        </w:rPr>
        <w:t>5500</w:t>
      </w:r>
      <w:r>
        <w:rPr>
          <w:color w:val="231F20"/>
        </w:rPr>
        <w:t>亿元，较</w:t>
      </w:r>
      <w:r>
        <w:rPr>
          <w:rFonts w:ascii="Times New Roman" w:eastAsia="Times New Roman"/>
          <w:color w:val="231F20"/>
        </w:rPr>
        <w:t>2019</w:t>
      </w:r>
      <w:r>
        <w:rPr>
          <w:color w:val="231F20"/>
        </w:rPr>
        <w:t>年末增长</w:t>
      </w:r>
      <w:r>
        <w:rPr>
          <w:rFonts w:ascii="Times New Roman" w:eastAsia="Times New Roman"/>
          <w:color w:val="231F20"/>
        </w:rPr>
        <w:t>127%</w:t>
      </w:r>
      <w:r>
        <w:rPr>
          <w:color w:val="231F20"/>
        </w:rPr>
        <w:t>，其中央行评级</w:t>
      </w:r>
      <w:r>
        <w:rPr>
          <w:rFonts w:ascii="Times New Roman" w:eastAsia="Times New Roman"/>
          <w:color w:val="231F20"/>
        </w:rPr>
        <w:t>8</w:t>
      </w:r>
      <w:r>
        <w:rPr>
          <w:color w:val="231F20"/>
        </w:rPr>
        <w:t>级以上的高风险银行吸收存款余额占比近</w:t>
      </w:r>
      <w:r>
        <w:rPr>
          <w:rFonts w:ascii="Times New Roman" w:eastAsia="Times New Roman"/>
          <w:color w:val="231F20"/>
        </w:rPr>
        <w:t>50%</w:t>
      </w:r>
      <w:r>
        <w:rPr>
          <w:color w:val="231F20"/>
        </w:rPr>
        <w:t>。某家高风险银行</w:t>
      </w:r>
      <w:r>
        <w:rPr>
          <w:rFonts w:ascii="Times New Roman" w:eastAsia="Times New Roman"/>
          <w:color w:val="231F20"/>
        </w:rPr>
        <w:t>70%</w:t>
      </w:r>
      <w:r>
        <w:rPr>
          <w:color w:val="231F20"/>
        </w:rPr>
        <w:t>的存款为通过第三方互联网平台吸收的异地存款，而其同业融资占总负债比重从</w:t>
      </w:r>
      <w:r>
        <w:rPr>
          <w:rFonts w:ascii="Times New Roman" w:eastAsia="Times New Roman"/>
          <w:color w:val="231F20"/>
        </w:rPr>
        <w:t>2019</w:t>
      </w:r>
      <w:r>
        <w:rPr>
          <w:color w:val="231F20"/>
        </w:rPr>
        <w:t>年末的</w:t>
      </w:r>
      <w:r>
        <w:rPr>
          <w:rFonts w:ascii="Times New Roman" w:eastAsia="Times New Roman"/>
          <w:color w:val="231F20"/>
        </w:rPr>
        <w:t>30%</w:t>
      </w:r>
      <w:r>
        <w:rPr>
          <w:color w:val="231F20"/>
        </w:rPr>
        <w:t>下降至</w:t>
      </w:r>
      <w:r>
        <w:rPr>
          <w:rFonts w:ascii="Times New Roman" w:eastAsia="Times New Roman"/>
          <w:color w:val="231F20"/>
        </w:rPr>
        <w:t>3.2%</w:t>
      </w:r>
      <w:r>
        <w:rPr>
          <w:color w:val="231F20"/>
        </w:rPr>
        <w:t>。</w:t>
      </w:r>
    </w:p>
    <w:p w:rsidR="0082190D" w:rsidRDefault="0082190D" w:rsidP="0082190D">
      <w:pPr>
        <w:pStyle w:val="a5"/>
        <w:rPr>
          <w:sz w:val="22"/>
        </w:rPr>
      </w:pPr>
    </w:p>
    <w:p w:rsidR="0082190D" w:rsidRDefault="0082190D" w:rsidP="0082190D">
      <w:pPr>
        <w:spacing w:before="175" w:line="249" w:lineRule="auto"/>
        <w:ind w:left="402" w:right="1415" w:firstLine="464"/>
        <w:rPr>
          <w:rFonts w:ascii="黑体" w:eastAsia="黑体"/>
          <w:sz w:val="28"/>
        </w:rPr>
      </w:pPr>
      <w:r>
        <w:rPr>
          <w:rFonts w:ascii="黑体" w:eastAsia="黑体" w:hint="eastAsia"/>
          <w:color w:val="0A376A"/>
          <w:sz w:val="28"/>
        </w:rPr>
        <w:t>二、第三方互联网平台存款业务存在的主要问题</w:t>
      </w:r>
    </w:p>
    <w:p w:rsidR="0082190D" w:rsidRDefault="0082190D" w:rsidP="0082190D">
      <w:pPr>
        <w:pStyle w:val="a5"/>
        <w:spacing w:before="6"/>
        <w:rPr>
          <w:rFonts w:ascii="黑体"/>
          <w:sz w:val="35"/>
        </w:rPr>
      </w:pPr>
    </w:p>
    <w:p w:rsidR="0082190D" w:rsidRDefault="0082190D" w:rsidP="0082190D">
      <w:pPr>
        <w:pStyle w:val="a5"/>
        <w:spacing w:line="374" w:lineRule="auto"/>
        <w:ind w:left="402" w:right="1404" w:firstLine="425"/>
        <w:jc w:val="both"/>
      </w:pPr>
      <w:r>
        <w:rPr>
          <w:color w:val="231F20"/>
        </w:rPr>
        <w:t>互联网平台违规开展代办储蓄业务。平台不仅集中展示多家银行的存款产品信息， 还为客户提供了产品购买接口，进一步掌握了存款产品的运营、数据和客户权限。强势平台甚至限制客户在银行自有渠道（如手机银行</w:t>
      </w:r>
      <w:r>
        <w:rPr>
          <w:rFonts w:ascii="Times New Roman" w:eastAsia="Times New Roman"/>
          <w:color w:val="231F20"/>
        </w:rPr>
        <w:t>APP</w:t>
      </w:r>
      <w:r>
        <w:rPr>
          <w:color w:val="231F20"/>
        </w:rPr>
        <w:t>、网上银行等）对相关产品进行查询和存取，客户只能通过平台操作。这种模式下，平台事实上未经批准开展了代办储蓄业</w:t>
      </w:r>
    </w:p>
    <w:p w:rsidR="0082190D" w:rsidRDefault="0082190D" w:rsidP="0082190D">
      <w:pPr>
        <w:spacing w:line="374" w:lineRule="auto"/>
        <w:jc w:val="both"/>
        <w:sectPr w:rsidR="0082190D">
          <w:type w:val="continuous"/>
          <w:pgSz w:w="11910" w:h="16160"/>
          <w:pgMar w:top="1520" w:right="0" w:bottom="280" w:left="520" w:header="720" w:footer="720" w:gutter="0"/>
          <w:cols w:num="2" w:space="720" w:equalWidth="0">
            <w:col w:w="5359" w:space="40"/>
            <w:col w:w="5991"/>
          </w:cols>
        </w:sectPr>
      </w:pPr>
    </w:p>
    <w:p w:rsidR="0082190D" w:rsidRDefault="0082190D" w:rsidP="0082190D">
      <w:pPr>
        <w:pStyle w:val="a5"/>
        <w:rPr>
          <w:sz w:val="20"/>
        </w:rPr>
      </w:pPr>
    </w:p>
    <w:p w:rsidR="0082190D" w:rsidRDefault="0082190D" w:rsidP="0082190D">
      <w:pPr>
        <w:pStyle w:val="a5"/>
        <w:spacing w:before="7"/>
        <w:rPr>
          <w:sz w:val="16"/>
        </w:rPr>
      </w:pPr>
    </w:p>
    <w:p w:rsidR="0082190D" w:rsidRDefault="0082190D" w:rsidP="0082190D">
      <w:pPr>
        <w:rPr>
          <w:sz w:val="16"/>
        </w:rPr>
        <w:sectPr w:rsidR="0082190D">
          <w:pgSz w:w="11910" w:h="16160"/>
          <w:pgMar w:top="1400" w:right="0" w:bottom="280" w:left="520" w:header="1067" w:footer="0" w:gutter="0"/>
          <w:cols w:space="720"/>
        </w:sectPr>
      </w:pPr>
    </w:p>
    <w:p w:rsidR="0082190D" w:rsidRDefault="0082190D" w:rsidP="0082190D">
      <w:pPr>
        <w:pStyle w:val="a5"/>
        <w:spacing w:before="58"/>
        <w:ind w:left="897"/>
      </w:pPr>
      <w:r>
        <w:rPr>
          <w:color w:val="231F20"/>
        </w:rPr>
        <w:lastRenderedPageBreak/>
        <w:t>务，违反了《储蓄管理条例》的有关规定。</w:t>
      </w:r>
    </w:p>
    <w:p w:rsidR="0082190D" w:rsidRDefault="0082190D" w:rsidP="0082190D">
      <w:pPr>
        <w:pStyle w:val="a5"/>
        <w:spacing w:before="148" w:line="374" w:lineRule="auto"/>
        <w:ind w:left="897" w:firstLine="425"/>
        <w:jc w:val="both"/>
      </w:pPr>
      <w:r>
        <w:rPr>
          <w:color w:val="231F20"/>
        </w:rPr>
        <w:t>地方法人银行突破经营的区域限制。借助大平台品牌和流量优势，地方法人银行与互联网平台合作在全国吸收存款、发放贷款，偏离了服务当地的经营定位，与其自身的风险管理能力不匹配。银行和平台没有利用现有技术手段识别客户与银行经营区域的匹配性，为逃避监管，甚至刻意屏蔽部分监管力度大的重点地区。</w:t>
      </w:r>
    </w:p>
    <w:p w:rsidR="0082190D" w:rsidRDefault="0082190D" w:rsidP="0082190D">
      <w:pPr>
        <w:pStyle w:val="a5"/>
        <w:spacing w:before="5" w:line="374" w:lineRule="auto"/>
        <w:ind w:left="897" w:right="12" w:firstLine="425"/>
        <w:jc w:val="both"/>
      </w:pPr>
      <w:r>
        <w:rPr>
          <w:color w:val="231F20"/>
        </w:rPr>
        <w:t>扰乱存款市场秩序。一些平台对存款产品按利率从高到低排序展示，加剧了银行竞价揽储的行为，推升银行资金成本。部分银行为了吸引客户，甚至通过缩短付息周期、提供现金奖励或发放购物券等方式变相提高存款产品利率，突破市场利率定价自律机制的要求。如某银行</w:t>
      </w:r>
      <w:r>
        <w:rPr>
          <w:rFonts w:ascii="Times New Roman" w:eastAsia="Times New Roman"/>
          <w:color w:val="231F20"/>
        </w:rPr>
        <w:t>5</w:t>
      </w:r>
      <w:r>
        <w:rPr>
          <w:color w:val="231F20"/>
        </w:rPr>
        <w:t>年定期存款，每</w:t>
      </w:r>
      <w:r>
        <w:rPr>
          <w:rFonts w:ascii="Times New Roman" w:eastAsia="Times New Roman"/>
          <w:color w:val="231F20"/>
        </w:rPr>
        <w:t>3</w:t>
      </w:r>
      <w:r>
        <w:rPr>
          <w:color w:val="231F20"/>
        </w:rPr>
        <w:t>个月付息，利率达</w:t>
      </w:r>
      <w:r>
        <w:rPr>
          <w:rFonts w:ascii="Times New Roman" w:eastAsia="Times New Roman"/>
          <w:color w:val="231F20"/>
        </w:rPr>
        <w:t>4.1%</w:t>
      </w:r>
      <w:r>
        <w:rPr>
          <w:color w:val="231F20"/>
        </w:rPr>
        <w:t>，而</w:t>
      </w:r>
      <w:r>
        <w:rPr>
          <w:rFonts w:ascii="Times New Roman" w:eastAsia="Times New Roman"/>
          <w:color w:val="231F20"/>
        </w:rPr>
        <w:t>3</w:t>
      </w:r>
      <w:r>
        <w:rPr>
          <w:color w:val="231F20"/>
        </w:rPr>
        <w:t>个月定期存款基准利率仅</w:t>
      </w:r>
      <w:r>
        <w:rPr>
          <w:rFonts w:ascii="Times New Roman" w:eastAsia="Times New Roman"/>
          <w:color w:val="231F20"/>
        </w:rPr>
        <w:t>1.1%</w:t>
      </w:r>
      <w:r>
        <w:rPr>
          <w:color w:val="231F20"/>
        </w:rPr>
        <w:t>。</w:t>
      </w:r>
    </w:p>
    <w:p w:rsidR="0082190D" w:rsidRDefault="0082190D" w:rsidP="0082190D">
      <w:pPr>
        <w:pStyle w:val="a5"/>
        <w:spacing w:before="2" w:line="374" w:lineRule="auto"/>
        <w:ind w:left="897" w:firstLine="425"/>
        <w:jc w:val="both"/>
      </w:pPr>
      <w:r>
        <w:rPr>
          <w:color w:val="231F20"/>
        </w:rPr>
        <w:t>增加了中小银行流动性隐患。第三方互联网平台存款具有开放性、利率敏感性高、异地客户为主、客户粘性低等特征，稳定性远低于线下存款，导致流动性匹配率、</w:t>
      </w:r>
    </w:p>
    <w:p w:rsidR="0082190D" w:rsidRDefault="0082190D" w:rsidP="0082190D">
      <w:pPr>
        <w:pStyle w:val="a5"/>
        <w:spacing w:before="58" w:line="374" w:lineRule="auto"/>
        <w:ind w:left="388" w:right="1688"/>
        <w:jc w:val="both"/>
      </w:pPr>
      <w:r>
        <w:br w:type="column"/>
      </w:r>
      <w:r>
        <w:rPr>
          <w:color w:val="231F20"/>
        </w:rPr>
        <w:lastRenderedPageBreak/>
        <w:t>优质流动性资产充足率和核心负债比例等流动性指标高估，不能充分反映银行的风险状况。此外，声誉风险的影响也被强化，一旦银行或平台出现负面舆情，极易导致“存款搬家”。</w:t>
      </w:r>
    </w:p>
    <w:p w:rsidR="0082190D" w:rsidRDefault="0082190D" w:rsidP="0082190D">
      <w:pPr>
        <w:pStyle w:val="a5"/>
        <w:rPr>
          <w:sz w:val="20"/>
        </w:rPr>
      </w:pPr>
    </w:p>
    <w:p w:rsidR="0082190D" w:rsidRDefault="0082190D" w:rsidP="0082190D">
      <w:pPr>
        <w:pStyle w:val="a5"/>
        <w:spacing w:before="7"/>
        <w:rPr>
          <w:sz w:val="15"/>
        </w:rPr>
      </w:pPr>
    </w:p>
    <w:p w:rsidR="0082190D" w:rsidRDefault="0082190D" w:rsidP="0082190D">
      <w:pPr>
        <w:ind w:left="853"/>
        <w:rPr>
          <w:rFonts w:ascii="黑体" w:eastAsia="黑体"/>
          <w:sz w:val="28"/>
        </w:rPr>
      </w:pPr>
      <w:r>
        <w:rPr>
          <w:rFonts w:ascii="黑体" w:eastAsia="黑体" w:hint="eastAsia"/>
          <w:color w:val="0A376A"/>
          <w:sz w:val="28"/>
        </w:rPr>
        <w:t>三、完善监管，规范存款市场</w:t>
      </w:r>
    </w:p>
    <w:p w:rsidR="0082190D" w:rsidRDefault="0082190D" w:rsidP="0082190D">
      <w:pPr>
        <w:pStyle w:val="a5"/>
        <w:spacing w:before="7"/>
        <w:rPr>
          <w:rFonts w:ascii="黑体"/>
          <w:sz w:val="36"/>
        </w:rPr>
      </w:pPr>
    </w:p>
    <w:p w:rsidR="0082190D" w:rsidRDefault="0082190D" w:rsidP="0082190D">
      <w:pPr>
        <w:pStyle w:val="a5"/>
        <w:ind w:left="813"/>
      </w:pPr>
      <w:r>
        <w:rPr>
          <w:rFonts w:ascii="Times New Roman" w:eastAsia="Times New Roman"/>
          <w:color w:val="231F20"/>
          <w:spacing w:val="3"/>
        </w:rPr>
        <w:t>2021</w:t>
      </w:r>
      <w:r>
        <w:rPr>
          <w:color w:val="231F20"/>
          <w:spacing w:val="3"/>
        </w:rPr>
        <w:t>年</w:t>
      </w:r>
      <w:r>
        <w:rPr>
          <w:rFonts w:ascii="Times New Roman" w:eastAsia="Times New Roman"/>
          <w:color w:val="231F20"/>
          <w:spacing w:val="3"/>
        </w:rPr>
        <w:t>1</w:t>
      </w:r>
      <w:r>
        <w:rPr>
          <w:color w:val="231F20"/>
          <w:spacing w:val="3"/>
        </w:rPr>
        <w:t>月，银保监会、人民银行印发了</w:t>
      </w:r>
    </w:p>
    <w:p w:rsidR="0082190D" w:rsidRDefault="0082190D" w:rsidP="0082190D">
      <w:pPr>
        <w:pStyle w:val="a5"/>
        <w:spacing w:before="151" w:line="374" w:lineRule="auto"/>
        <w:ind w:left="388" w:right="1688"/>
        <w:jc w:val="both"/>
      </w:pPr>
      <w:r>
        <w:rPr>
          <w:color w:val="231F20"/>
        </w:rPr>
        <w:t>《关于规范商业银行通过互联网开展个人存款业务有关事项的通知》，叫停通过第三方互联网平台开展的定期存款和定活两便存款业务，不得再新增业务，存量业务到期后自然结清。目前，第三方互联网平台存款产品已经下架。</w:t>
      </w:r>
    </w:p>
    <w:p w:rsidR="0082190D" w:rsidRDefault="0082190D" w:rsidP="0082190D">
      <w:pPr>
        <w:pStyle w:val="a5"/>
        <w:spacing w:before="1" w:line="374" w:lineRule="auto"/>
        <w:ind w:left="388" w:right="1688" w:firstLine="425"/>
        <w:jc w:val="both"/>
      </w:pPr>
      <w:r>
        <w:rPr>
          <w:color w:val="231F20"/>
        </w:rPr>
        <w:t>为了限制地方法人银行盲目扩张，督促其回归服务当地的经营定位，</w:t>
      </w:r>
      <w:r>
        <w:rPr>
          <w:rFonts w:ascii="Times New Roman" w:eastAsia="Times New Roman"/>
          <w:color w:val="231F20"/>
        </w:rPr>
        <w:t>2021</w:t>
      </w:r>
      <w:r>
        <w:rPr>
          <w:color w:val="231F20"/>
        </w:rPr>
        <w:t>年</w:t>
      </w:r>
      <w:r>
        <w:rPr>
          <w:rFonts w:ascii="Times New Roman" w:eastAsia="Times New Roman"/>
          <w:color w:val="231F20"/>
        </w:rPr>
        <w:t>2</w:t>
      </w:r>
      <w:r>
        <w:rPr>
          <w:color w:val="231F20"/>
        </w:rPr>
        <w:t>月，人民银行明确地方法人银行不得以各种渠道异地揽存，存量业务到期后自然结清。从</w:t>
      </w:r>
      <w:r>
        <w:rPr>
          <w:rFonts w:ascii="Times New Roman" w:eastAsia="Times New Roman"/>
          <w:color w:val="231F20"/>
        </w:rPr>
        <w:t xml:space="preserve">2021 </w:t>
      </w:r>
      <w:r>
        <w:rPr>
          <w:color w:val="231F20"/>
        </w:rPr>
        <w:t>年第一季度起，地方法人银行吸收异地存款情况纳入宏观审慎评估。</w:t>
      </w:r>
    </w:p>
    <w:p w:rsidR="0082190D" w:rsidRDefault="0082190D" w:rsidP="0082190D">
      <w:pPr>
        <w:spacing w:line="374" w:lineRule="auto"/>
        <w:jc w:val="both"/>
        <w:sectPr w:rsidR="0082190D">
          <w:type w:val="continuous"/>
          <w:pgSz w:w="11910" w:h="16160"/>
          <w:pgMar w:top="1520" w:right="0" w:bottom="280" w:left="520" w:header="720" w:footer="720" w:gutter="0"/>
          <w:cols w:num="2" w:space="720" w:equalWidth="0">
            <w:col w:w="5090" w:space="40"/>
            <w:col w:w="6260"/>
          </w:cols>
        </w:sectPr>
      </w:pPr>
    </w:p>
    <w:p w:rsidR="0082190D" w:rsidRDefault="0082190D" w:rsidP="0082190D">
      <w:pPr>
        <w:tabs>
          <w:tab w:val="left" w:pos="10063"/>
        </w:tabs>
        <w:spacing w:before="51"/>
        <w:ind w:left="7024"/>
        <w:rPr>
          <w:rFonts w:ascii="Gill Sans MT"/>
          <w:sz w:val="20"/>
        </w:rPr>
      </w:pPr>
    </w:p>
    <w:p w:rsidR="00FF388F" w:rsidRDefault="00FF388F">
      <w:bookmarkStart w:id="0" w:name="_GoBack"/>
      <w:bookmarkEnd w:id="0"/>
    </w:p>
    <w:sectPr w:rsidR="00FF388F" w:rsidSect="004A5D47">
      <w:pgSz w:w="11910" w:h="16160"/>
      <w:pgMar w:top="640" w:right="0" w:bottom="280" w:left="5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87" w:rsidRDefault="00F45387" w:rsidP="0082190D">
      <w:r>
        <w:separator/>
      </w:r>
    </w:p>
  </w:endnote>
  <w:endnote w:type="continuationSeparator" w:id="0">
    <w:p w:rsidR="00F45387" w:rsidRDefault="00F45387" w:rsidP="0082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87" w:rsidRDefault="00F45387" w:rsidP="0082190D">
      <w:r>
        <w:separator/>
      </w:r>
    </w:p>
  </w:footnote>
  <w:footnote w:type="continuationSeparator" w:id="0">
    <w:p w:rsidR="00F45387" w:rsidRDefault="00F45387" w:rsidP="00821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47"/>
    <w:rsid w:val="00123947"/>
    <w:rsid w:val="0082190D"/>
    <w:rsid w:val="00F45387"/>
    <w:rsid w:val="00FF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190D"/>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90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82190D"/>
    <w:rPr>
      <w:sz w:val="18"/>
      <w:szCs w:val="18"/>
    </w:rPr>
  </w:style>
  <w:style w:type="paragraph" w:styleId="a4">
    <w:name w:val="footer"/>
    <w:basedOn w:val="a"/>
    <w:link w:val="Char0"/>
    <w:uiPriority w:val="99"/>
    <w:unhideWhenUsed/>
    <w:rsid w:val="0082190D"/>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82190D"/>
    <w:rPr>
      <w:sz w:val="18"/>
      <w:szCs w:val="18"/>
    </w:rPr>
  </w:style>
  <w:style w:type="table" w:customStyle="1" w:styleId="TableNormal">
    <w:name w:val="Table Normal"/>
    <w:uiPriority w:val="2"/>
    <w:semiHidden/>
    <w:unhideWhenUsed/>
    <w:qFormat/>
    <w:rsid w:val="0082190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82190D"/>
    <w:rPr>
      <w:sz w:val="21"/>
      <w:szCs w:val="21"/>
    </w:rPr>
  </w:style>
  <w:style w:type="character" w:customStyle="1" w:styleId="Char1">
    <w:name w:val="正文文本 Char"/>
    <w:basedOn w:val="a0"/>
    <w:link w:val="a5"/>
    <w:uiPriority w:val="1"/>
    <w:rsid w:val="0082190D"/>
    <w:rPr>
      <w:rFonts w:ascii="宋体" w:eastAsia="宋体" w:hAnsi="宋体" w:cs="宋体"/>
      <w:kern w:val="0"/>
      <w:szCs w:val="21"/>
      <w:lang w:val="zh-CN" w:bidi="zh-CN"/>
    </w:rPr>
  </w:style>
  <w:style w:type="paragraph" w:customStyle="1" w:styleId="TableParagraph">
    <w:name w:val="Table Paragraph"/>
    <w:basedOn w:val="a"/>
    <w:uiPriority w:val="1"/>
    <w:qFormat/>
    <w:rsid w:val="0082190D"/>
    <w:pPr>
      <w:spacing w:before="47"/>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190D"/>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90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82190D"/>
    <w:rPr>
      <w:sz w:val="18"/>
      <w:szCs w:val="18"/>
    </w:rPr>
  </w:style>
  <w:style w:type="paragraph" w:styleId="a4">
    <w:name w:val="footer"/>
    <w:basedOn w:val="a"/>
    <w:link w:val="Char0"/>
    <w:uiPriority w:val="99"/>
    <w:unhideWhenUsed/>
    <w:rsid w:val="0082190D"/>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82190D"/>
    <w:rPr>
      <w:sz w:val="18"/>
      <w:szCs w:val="18"/>
    </w:rPr>
  </w:style>
  <w:style w:type="table" w:customStyle="1" w:styleId="TableNormal">
    <w:name w:val="Table Normal"/>
    <w:uiPriority w:val="2"/>
    <w:semiHidden/>
    <w:unhideWhenUsed/>
    <w:qFormat/>
    <w:rsid w:val="0082190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82190D"/>
    <w:rPr>
      <w:sz w:val="21"/>
      <w:szCs w:val="21"/>
    </w:rPr>
  </w:style>
  <w:style w:type="character" w:customStyle="1" w:styleId="Char1">
    <w:name w:val="正文文本 Char"/>
    <w:basedOn w:val="a0"/>
    <w:link w:val="a5"/>
    <w:uiPriority w:val="1"/>
    <w:rsid w:val="0082190D"/>
    <w:rPr>
      <w:rFonts w:ascii="宋体" w:eastAsia="宋体" w:hAnsi="宋体" w:cs="宋体"/>
      <w:kern w:val="0"/>
      <w:szCs w:val="21"/>
      <w:lang w:val="zh-CN" w:bidi="zh-CN"/>
    </w:rPr>
  </w:style>
  <w:style w:type="paragraph" w:customStyle="1" w:styleId="TableParagraph">
    <w:name w:val="Table Paragraph"/>
    <w:basedOn w:val="a"/>
    <w:uiPriority w:val="1"/>
    <w:qFormat/>
    <w:rsid w:val="0082190D"/>
    <w:pPr>
      <w:spacing w:before="47"/>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CreditCN1106</dc:creator>
  <cp:keywords/>
  <dc:description/>
  <cp:lastModifiedBy>CreditCN1106</cp:lastModifiedBy>
  <cp:revision>2</cp:revision>
  <dcterms:created xsi:type="dcterms:W3CDTF">2021-09-06T05:38:00Z</dcterms:created>
  <dcterms:modified xsi:type="dcterms:W3CDTF">2021-09-06T05:39:00Z</dcterms:modified>
</cp:coreProperties>
</file>